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附表</w:t>
      </w:r>
      <w:r>
        <w:rPr>
          <w:rFonts w:ascii="黑体" w:hAnsi="宋体" w:eastAsia="黑体"/>
          <w:sz w:val="32"/>
          <w:szCs w:val="32"/>
        </w:rPr>
        <w:t>9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widowControl/>
        <w:jc w:val="center"/>
        <w:rPr>
          <w:rFonts w:hint="eastAsia" w:ascii="方正小标宋简体" w:hAnsi="华文中宋" w:eastAsia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bCs/>
          <w:color w:val="000000"/>
          <w:kern w:val="0"/>
          <w:sz w:val="44"/>
          <w:szCs w:val="44"/>
        </w:rPr>
        <w:t>宁海县企业淘汰落后产能验收意见表</w:t>
      </w:r>
    </w:p>
    <w:bookmarkEnd w:id="0"/>
    <w:tbl>
      <w:tblPr>
        <w:tblStyle w:val="3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260"/>
        <w:gridCol w:w="360"/>
        <w:gridCol w:w="731"/>
        <w:gridCol w:w="709"/>
        <w:gridCol w:w="409"/>
        <w:gridCol w:w="40"/>
        <w:gridCol w:w="685"/>
        <w:gridCol w:w="817"/>
        <w:gridCol w:w="90"/>
        <w:gridCol w:w="229"/>
        <w:gridCol w:w="250"/>
        <w:gridCol w:w="122"/>
        <w:gridCol w:w="618"/>
        <w:gridCol w:w="22"/>
        <w:gridCol w:w="254"/>
        <w:gridCol w:w="576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企业名称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（盖章）</w:t>
            </w:r>
          </w:p>
        </w:tc>
        <w:tc>
          <w:tcPr>
            <w:tcW w:w="3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企业地址</w:t>
            </w:r>
          </w:p>
        </w:tc>
        <w:tc>
          <w:tcPr>
            <w:tcW w:w="32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法定代表人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2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传真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经营范围</w:t>
            </w:r>
          </w:p>
        </w:tc>
        <w:tc>
          <w:tcPr>
            <w:tcW w:w="3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主要产品</w:t>
            </w: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项目审批机关批复的生产能力</w:t>
            </w: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840" w:firstLineChars="40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（注明单位）</w:t>
            </w:r>
          </w:p>
        </w:tc>
        <w:tc>
          <w:tcPr>
            <w:tcW w:w="2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上年度实际生产能力</w:t>
            </w: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260" w:firstLineChars="60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（注明单位）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50" w:hanging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淘汰落后产能任务</w:t>
            </w: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529" w:hanging="529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/>
                <w:kern w:val="0"/>
                <w:szCs w:val="21"/>
              </w:rPr>
              <w:t>（注明单位）</w:t>
            </w:r>
          </w:p>
        </w:tc>
        <w:tc>
          <w:tcPr>
            <w:tcW w:w="2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103" w:hanging="10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实际淘汰落后产能</w:t>
            </w: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529" w:hanging="529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Cs w:val="21"/>
              </w:rPr>
              <w:t>（注明单位）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企业基本情况（上年度）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职工人数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/>
                <w:kern w:val="0"/>
                <w:szCs w:val="21"/>
              </w:rPr>
              <w:t>人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固定资产净值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         </w:t>
            </w: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销售收入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利税总额</w:t>
            </w:r>
          </w:p>
        </w:tc>
        <w:tc>
          <w:tcPr>
            <w:tcW w:w="34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其中：利润</w:t>
            </w:r>
          </w:p>
        </w:tc>
        <w:tc>
          <w:tcPr>
            <w:tcW w:w="31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                      </w:t>
            </w: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涉及淘汰落后产能有关情况（上年度）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职工人数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575" w:firstLineChars="75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固定资产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净值</w:t>
            </w:r>
          </w:p>
        </w:tc>
        <w:tc>
          <w:tcPr>
            <w:tcW w:w="2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             </w:t>
            </w: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销售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收入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利税总额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  <w:tc>
          <w:tcPr>
            <w:tcW w:w="2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其中：利润</w:t>
            </w:r>
          </w:p>
        </w:tc>
        <w:tc>
          <w:tcPr>
            <w:tcW w:w="2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             </w:t>
            </w: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淘汰落后产能效果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年新腾出用能空间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（折标煤）</w:t>
            </w:r>
          </w:p>
        </w:tc>
        <w:tc>
          <w:tcPr>
            <w:tcW w:w="10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吨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腾出土地或厂房</w:t>
            </w:r>
          </w:p>
        </w:tc>
        <w:tc>
          <w:tcPr>
            <w:tcW w:w="1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土地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（亩）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10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减排</w:t>
            </w:r>
            <w:r>
              <w:rPr>
                <w:rFonts w:ascii="宋体" w:hAnsi="宋体"/>
                <w:spacing w:val="-16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spacing w:val="-16"/>
                <w:kern w:val="0"/>
                <w:szCs w:val="21"/>
              </w:rPr>
              <w:t>吨</w:t>
            </w:r>
            <w:r>
              <w:rPr>
                <w:rFonts w:ascii="宋体" w:hAnsi="宋体"/>
                <w:spacing w:val="-16"/>
                <w:kern w:val="0"/>
                <w:szCs w:val="21"/>
              </w:rPr>
              <w:t>)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ascii="宋体" w:hAnsi="宋体"/>
                <w:spacing w:val="-16"/>
                <w:kern w:val="0"/>
                <w:szCs w:val="21"/>
              </w:rPr>
              <w:t>COD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10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ascii="宋体" w:hAnsi="宋体"/>
                <w:spacing w:val="-16"/>
                <w:kern w:val="0"/>
                <w:szCs w:val="21"/>
              </w:rPr>
              <w:t>NH</w:t>
            </w:r>
            <w:r>
              <w:rPr>
                <w:rFonts w:ascii="宋体" w:hAnsi="宋体"/>
                <w:spacing w:val="-16"/>
                <w:kern w:val="0"/>
                <w:szCs w:val="21"/>
                <w:vertAlign w:val="subscript"/>
              </w:rPr>
              <w:t>3</w:t>
            </w:r>
            <w:r>
              <w:rPr>
                <w:rFonts w:ascii="宋体" w:hAnsi="宋体"/>
                <w:spacing w:val="-16"/>
                <w:kern w:val="0"/>
                <w:szCs w:val="21"/>
              </w:rPr>
              <w:t>-N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厂房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（平方米）</w:t>
            </w:r>
          </w:p>
        </w:tc>
        <w:tc>
          <w:tcPr>
            <w:tcW w:w="11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10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ascii="宋体" w:hAnsi="宋体"/>
                <w:spacing w:val="-16"/>
                <w:kern w:val="0"/>
                <w:szCs w:val="21"/>
              </w:rPr>
              <w:t>SO</w:t>
            </w:r>
            <w:r>
              <w:rPr>
                <w:rFonts w:ascii="宋体" w:hAnsi="宋体"/>
                <w:spacing w:val="-16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10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ascii="宋体" w:hAnsi="宋体"/>
                <w:spacing w:val="-16"/>
                <w:kern w:val="0"/>
                <w:szCs w:val="21"/>
              </w:rPr>
              <w:t>NO</w:t>
            </w:r>
            <w:r>
              <w:rPr>
                <w:rFonts w:ascii="宋体" w:hAnsi="宋体"/>
                <w:spacing w:val="-16"/>
                <w:kern w:val="0"/>
                <w:szCs w:val="21"/>
                <w:vertAlign w:val="subscript"/>
              </w:rPr>
              <w:t>X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拆除设备或生产线名称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规格型号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数量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关停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时间</w:t>
            </w: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拆除时间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/>
                <w:spacing w:val="-16"/>
                <w:kern w:val="0"/>
                <w:szCs w:val="21"/>
              </w:rPr>
              <w:t>最终去向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95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乡镇（街道）验收意见：</w:t>
            </w:r>
          </w:p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5880" w:firstLineChars="28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验收组负责人（签字）</w:t>
            </w:r>
          </w:p>
          <w:p>
            <w:pPr>
              <w:widowControl/>
              <w:spacing w:line="400" w:lineRule="exact"/>
              <w:ind w:right="840" w:firstLine="6195" w:firstLineChars="29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（主管部门盖章）</w:t>
            </w:r>
          </w:p>
          <w:p>
            <w:pPr>
              <w:widowControl/>
              <w:spacing w:line="400" w:lineRule="exact"/>
              <w:ind w:firstLine="6405" w:firstLineChars="30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>      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      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95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县淘汰办验收意见</w:t>
            </w:r>
          </w:p>
          <w:p>
            <w:pPr>
              <w:widowControl/>
              <w:spacing w:line="400" w:lineRule="exact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5985" w:firstLineChars="28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验收组负责人（签字）</w:t>
            </w:r>
          </w:p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（主管部门盖章）</w:t>
            </w:r>
          </w:p>
          <w:p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    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      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E540B"/>
    <w:rsid w:val="300E54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2016-09-18T08:51:00Z</dcterms:created>
  <dc:creator>Administrator</dc:creator>
  <cp:lastModifiedBy>Administrator</cp:lastModifiedBy>
  <dcterms:modified xsi:type="dcterms:W3CDTF">2016-09-18T08:51:37Z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