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44"/>
          <w:szCs w:val="44"/>
        </w:rPr>
      </w:pPr>
    </w:p>
    <w:p>
      <w:pPr>
        <w:jc w:val="center"/>
        <w:rPr>
          <w:rFonts w:hint="eastAsia"/>
          <w:b/>
          <w:color w:val="FF0000"/>
          <w:sz w:val="44"/>
          <w:szCs w:val="44"/>
        </w:rPr>
      </w:pPr>
    </w:p>
    <w:p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关于举办《大数据精准营销》培训班的通知</w:t>
      </w:r>
    </w:p>
    <w:p>
      <w:r>
        <w:rPr>
          <w:rFonts w:hint="eastAsia"/>
        </w:rPr>
        <w:t xml:space="preserve">      </w:t>
      </w:r>
    </w:p>
    <w:p>
      <w:pPr>
        <w:ind w:firstLine="3570" w:firstLineChars="1700"/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各县（市）区经信局，各管委会经发局，各有关单位：</w:t>
      </w:r>
    </w:p>
    <w:p>
      <w:pPr>
        <w:rPr>
          <w:sz w:val="24"/>
          <w:szCs w:val="24"/>
        </w:rPr>
      </w:pP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为帮助我市企业管理人员、销售管理人员、外贸、电子商务（跨境电商）相关人员掌握</w:t>
      </w:r>
      <w:r>
        <w:rPr>
          <w:rFonts w:hint="eastAsia"/>
          <w:b/>
          <w:sz w:val="24"/>
          <w:szCs w:val="24"/>
        </w:rPr>
        <w:t>“大数据精准营销”知识，增强企业的营销创新能力，提升营销精准度，节约成本</w:t>
      </w:r>
      <w:r>
        <w:rPr>
          <w:rFonts w:hint="eastAsia"/>
          <w:sz w:val="24"/>
          <w:szCs w:val="24"/>
        </w:rPr>
        <w:t>。根据2017年宁波市企业素质提升系列培训项目计划，决定举办“大数据精准营销”培训班。经公开招标，委托北京百度网讯科技有限公司培训，具体由百度云智学院宁波分院</w:t>
      </w:r>
      <w:r>
        <w:rPr>
          <w:rFonts w:hint="eastAsia"/>
          <w:sz w:val="24"/>
          <w:szCs w:val="24"/>
          <w:lang w:eastAsia="zh-CN"/>
        </w:rPr>
        <w:t>（宁波青软智能科技有限公司）</w:t>
      </w:r>
      <w:r>
        <w:rPr>
          <w:rFonts w:hint="eastAsia"/>
          <w:sz w:val="24"/>
          <w:szCs w:val="24"/>
        </w:rPr>
        <w:t>承办，</w:t>
      </w:r>
      <w:r>
        <w:rPr>
          <w:rFonts w:hint="eastAsia"/>
          <w:b/>
          <w:sz w:val="24"/>
          <w:szCs w:val="24"/>
        </w:rPr>
        <w:t>百度派公司高级工程师来宁波授课</w:t>
      </w:r>
      <w:r>
        <w:rPr>
          <w:rFonts w:hint="eastAsia"/>
          <w:sz w:val="24"/>
          <w:szCs w:val="24"/>
        </w:rPr>
        <w:t>。现将有关事项通知如下：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培训时间：2017年1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31日—11月1日</w:t>
      </w:r>
      <w:r>
        <w:rPr>
          <w:rFonts w:hint="eastAsia"/>
          <w:sz w:val="24"/>
          <w:szCs w:val="24"/>
        </w:rPr>
        <w:t>，上午8:30--9:00报到（见附件1），如有变化另行通知。</w:t>
      </w:r>
    </w:p>
    <w:p>
      <w:pPr>
        <w:pStyle w:val="11"/>
        <w:spacing w:line="276" w:lineRule="auto"/>
        <w:ind w:left="405" w:firstLine="0" w:firstLineChars="0"/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培训地点:宁波市先进制造业公共培训平台</w:t>
      </w:r>
      <w:r>
        <w:rPr>
          <w:rFonts w:hint="eastAsia"/>
          <w:sz w:val="24"/>
          <w:szCs w:val="24"/>
          <w:lang w:val="en-US" w:eastAsia="zh-CN"/>
        </w:rPr>
        <w:t>B楼308机房</w:t>
      </w:r>
      <w:r>
        <w:rPr>
          <w:rFonts w:hint="eastAsia"/>
          <w:sz w:val="24"/>
          <w:szCs w:val="24"/>
        </w:rPr>
        <w:t>（宁波市海曙区翠柏路89号宁波工程学院西校区内）。</w:t>
      </w:r>
    </w:p>
    <w:p>
      <w:pPr>
        <w:spacing w:line="276" w:lineRule="auto"/>
        <w:rPr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培训对象和人数：企业管理人员，销售管理人员，外贸、电子商务（跨境电商）相关人员，共计150人。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四、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培训费用:本期培训班列入“2017年度宁波市企业素质提升系列培训项目”，学员培训、食宿（标间：2人/间）费用免</w:t>
      </w:r>
      <w:r>
        <w:rPr>
          <w:rFonts w:hint="eastAsia"/>
          <w:sz w:val="24"/>
          <w:szCs w:val="24"/>
          <w:lang w:eastAsia="zh-CN"/>
        </w:rPr>
        <w:t>费</w:t>
      </w:r>
      <w:r>
        <w:rPr>
          <w:rFonts w:hint="eastAsia"/>
          <w:sz w:val="24"/>
          <w:szCs w:val="24"/>
        </w:rPr>
        <w:t>，交通自理。</w:t>
      </w:r>
    </w:p>
    <w:p>
      <w:pPr>
        <w:spacing w:line="276" w:lineRule="auto"/>
        <w:rPr>
          <w:rFonts w:hint="eastAsia"/>
          <w:sz w:val="24"/>
          <w:szCs w:val="24"/>
          <w:lang w:eastAsia="zh-CN"/>
        </w:rPr>
      </w:pPr>
    </w:p>
    <w:p>
      <w:pPr>
        <w:pStyle w:val="11"/>
        <w:numPr>
          <w:ilvl w:val="0"/>
          <w:numId w:val="0"/>
        </w:num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报名办法：因名额有限，本期培训班采取“先报先录”与“择优录用”相结合的原则，即日起接受报名（见附件2）。参训资格经市经信委审核确定后，由承办单位通知为准。请报名参加培训的学员，提前安排好工作，准时报到并全程参加培训。</w:t>
      </w:r>
    </w:p>
    <w:p>
      <w:pPr>
        <w:pStyle w:val="11"/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sz w:val="24"/>
          <w:szCs w:val="24"/>
        </w:rPr>
      </w:pPr>
    </w:p>
    <w:p>
      <w:pPr>
        <w:pStyle w:val="11"/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sz w:val="24"/>
          <w:szCs w:val="24"/>
        </w:rPr>
      </w:pPr>
    </w:p>
    <w:p>
      <w:pPr>
        <w:pStyle w:val="11"/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sz w:val="24"/>
          <w:szCs w:val="24"/>
        </w:rPr>
      </w:pPr>
    </w:p>
    <w:p>
      <w:pPr>
        <w:pStyle w:val="11"/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sz w:val="24"/>
          <w:szCs w:val="24"/>
        </w:rPr>
      </w:pPr>
    </w:p>
    <w:p>
      <w:pPr>
        <w:pStyle w:val="11"/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sz w:val="24"/>
          <w:szCs w:val="24"/>
        </w:rPr>
      </w:pPr>
    </w:p>
    <w:p>
      <w:pPr>
        <w:pStyle w:val="11"/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bookmarkStart w:id="0" w:name="_GoBack"/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报名联系人：百度云智学院宁波分院  </w:t>
      </w:r>
    </w:p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刘老师，联系电话：0574-55864800，</w:t>
      </w: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手机：180 6911 0168，</w:t>
      </w: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传真：0574-55864800，</w:t>
      </w:r>
    </w:p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电子邮箱：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"mailto:2362817810@qq.com" </w:instrText>
      </w:r>
      <w:r>
        <w:rPr>
          <w:color w:val="auto"/>
        </w:rPr>
        <w:fldChar w:fldCharType="separate"/>
      </w:r>
      <w:r>
        <w:rPr>
          <w:rStyle w:val="7"/>
          <w:rFonts w:hint="eastAsia"/>
          <w:b/>
          <w:color w:val="auto"/>
          <w:sz w:val="24"/>
          <w:szCs w:val="24"/>
        </w:rPr>
        <w:t>2362817810@qq.com</w:t>
      </w:r>
      <w:r>
        <w:rPr>
          <w:rStyle w:val="7"/>
          <w:rFonts w:hint="eastAsia"/>
          <w:b/>
          <w:color w:val="auto"/>
          <w:sz w:val="24"/>
          <w:szCs w:val="24"/>
        </w:rPr>
        <w:fldChar w:fldCharType="end"/>
      </w:r>
    </w:p>
    <w:bookmarkEnd w:id="0"/>
    <w:p>
      <w:pPr>
        <w:spacing w:line="276" w:lineRule="auto"/>
        <w:rPr>
          <w:sz w:val="24"/>
          <w:szCs w:val="24"/>
        </w:rPr>
      </w:pP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监督投诉：市经信委软件与信息服务业处 联系电话：0574-89183429。</w:t>
      </w:r>
    </w:p>
    <w:p>
      <w:pPr>
        <w:pStyle w:val="11"/>
        <w:spacing w:line="276" w:lineRule="auto"/>
        <w:ind w:left="405" w:firstLine="0" w:firstLineChars="0"/>
        <w:rPr>
          <w:sz w:val="24"/>
          <w:szCs w:val="24"/>
        </w:rPr>
      </w:pP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请各地有关单位协助做好宣传、发动工作，通知本地、本行业符合条件的企业积极报名参加培训。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1.《人工智能和大数据》培训班老师简介及课程表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2.《人工智能和大数据》培训班报名申请表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 宁波市先进制造业公共培训平台</w:t>
      </w:r>
      <w:r>
        <w:rPr>
          <w:rFonts w:hint="eastAsia"/>
          <w:sz w:val="24"/>
          <w:szCs w:val="24"/>
          <w:lang w:val="en-US" w:eastAsia="zh-CN"/>
        </w:rPr>
        <w:t>B楼</w:t>
      </w:r>
      <w:r>
        <w:rPr>
          <w:rFonts w:hint="eastAsia"/>
          <w:sz w:val="24"/>
          <w:szCs w:val="24"/>
        </w:rPr>
        <w:t>（宁波市海曙区翠柏路89号宁波工程学院西校区内）行车路线图。</w:t>
      </w:r>
    </w:p>
    <w:p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宁波市经济和信息化委员会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2017年9月29日     </w:t>
      </w:r>
    </w:p>
    <w:p>
      <w:pPr>
        <w:spacing w:line="276" w:lineRule="auto"/>
        <w:rPr>
          <w:sz w:val="24"/>
          <w:szCs w:val="24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20"/>
        </w:tabs>
        <w:spacing w:line="60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附件1：</w:t>
      </w:r>
    </w:p>
    <w:p>
      <w:pPr>
        <w:tabs>
          <w:tab w:val="left" w:pos="720"/>
        </w:tabs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一、“大数据精准营销”培训班课程表</w:t>
      </w:r>
    </w:p>
    <w:tbl>
      <w:tblPr>
        <w:tblStyle w:val="8"/>
        <w:tblW w:w="8742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645"/>
        <w:gridCol w:w="1474"/>
        <w:gridCol w:w="3911"/>
        <w:gridCol w:w="2203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09" w:type="dxa"/>
            <w:tcBorders>
              <w:top w:val="thinThickSmallGap" w:color="000000" w:sz="12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5" w:type="dxa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时间</w:t>
            </w:r>
          </w:p>
        </w:tc>
        <w:tc>
          <w:tcPr>
            <w:tcW w:w="1474" w:type="dxa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课程/时间</w:t>
            </w:r>
          </w:p>
        </w:tc>
        <w:tc>
          <w:tcPr>
            <w:tcW w:w="3911" w:type="dxa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内容安排</w:t>
            </w:r>
          </w:p>
        </w:tc>
        <w:tc>
          <w:tcPr>
            <w:tcW w:w="2203" w:type="dxa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黑体" w:asciiTheme="minorEastAsia" w:hAnsiTheme="minorEastAsia" w:eastAsiaTheme="minorEastAsia"/>
              </w:rPr>
              <w:t>相关人员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 w:firstLine="42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第一天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上午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8:</w:t>
            </w: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0-</w:t>
            </w:r>
            <w:r>
              <w:rPr>
                <w:rFonts w:hint="eastAsia" w:asciiTheme="minorEastAsia" w:hAnsiTheme="minorEastAsia" w:eastAsiaTheme="minorEastAsia"/>
              </w:rPr>
              <w:t>9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0</w:t>
            </w:r>
            <w:r>
              <w:rPr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学员签到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承办方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0</w:t>
            </w:r>
            <w:r>
              <w:rPr>
                <w:rFonts w:asciiTheme="minorEastAsia" w:hAnsiTheme="minorEastAsia" w:eastAsiaTheme="minorEastAsia"/>
              </w:rPr>
              <w:t>0-</w:t>
            </w:r>
            <w:r>
              <w:rPr>
                <w:rFonts w:hint="eastAsia" w:asciiTheme="minorEastAsia" w:hAnsiTheme="minorEastAsia" w:eastAsiaTheme="minorEastAsia"/>
              </w:rPr>
              <w:t>9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30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开班典礼（领导讲话）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经信委、承办方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30</w:t>
            </w:r>
            <w:r>
              <w:rPr>
                <w:rFonts w:asciiTheme="minorEastAsia" w:hAnsiTheme="minorEastAsia" w:eastAsiaTheme="minorEastAsia"/>
              </w:rPr>
              <w:t>-1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pacing w:line="276" w:lineRule="auto"/>
              <w:ind w:left="360" w:firstLine="0"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pStyle w:val="11"/>
              <w:widowControl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大数据基础技术介绍；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百度云天算---智能大数据平台介绍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平台和解决方案概览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“数据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产生、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收集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、存储、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变形、分析”流程概览</w:t>
            </w:r>
          </w:p>
          <w:p>
            <w:pPr>
              <w:pStyle w:val="11"/>
              <w:widowControl/>
              <w:spacing w:line="276" w:lineRule="auto"/>
              <w:ind w:left="1200" w:firstLine="0" w:firstLineChars="0"/>
              <w:jc w:val="lef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D0D0D"/>
                <w:spacing w:val="20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征途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中午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0-13:</w:t>
            </w:r>
            <w:r>
              <w:rPr>
                <w:rFonts w:hint="eastAsia" w:asciiTheme="minorEastAsia" w:hAnsiTheme="minorEastAsia" w:eastAsiaTheme="minorEastAsia"/>
              </w:rPr>
              <w:t>0</w:t>
            </w:r>
            <w:r>
              <w:rPr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中餐、午休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承办方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下午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13:</w:t>
            </w:r>
            <w:r>
              <w:rPr>
                <w:rFonts w:hint="eastAsia" w:asciiTheme="minorEastAsia" w:hAnsiTheme="minorEastAsia" w:eastAsiaTheme="minorEastAsia"/>
              </w:rPr>
              <w:t>0</w:t>
            </w:r>
            <w:r>
              <w:rPr>
                <w:rFonts w:asciiTheme="minorEastAsia" w:hAnsiTheme="minorEastAsia" w:eastAsiaTheme="minorEastAsia"/>
              </w:rPr>
              <w:t>0-1</w:t>
            </w:r>
            <w:r>
              <w:rPr>
                <w:rFonts w:hint="eastAsia" w:asciiTheme="minorEastAsia" w:hAnsiTheme="minorEastAsia" w:eastAsiaTheme="minorEastAsia"/>
              </w:rPr>
              <w:t>6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spacing w:line="276" w:lineRule="auto"/>
              <w:ind w:left="360" w:firstLine="0"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A、大数据服务主要产品介绍（大数据类）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解决方案与客户案例：数据仓储、日志分析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开发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流程演示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大数据服务主要产品介绍（机器学习类）</w:t>
            </w:r>
          </w:p>
          <w:p>
            <w:pPr>
              <w:pStyle w:val="11"/>
              <w:widowControl/>
              <w:numPr>
                <w:ilvl w:val="0"/>
                <w:numId w:val="6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介绍机器学习、深度学习等产品</w:t>
            </w:r>
          </w:p>
          <w:p>
            <w:pPr>
              <w:pStyle w:val="11"/>
              <w:widowControl/>
              <w:numPr>
                <w:ilvl w:val="0"/>
                <w:numId w:val="6"/>
              </w:numPr>
              <w:spacing w:line="276" w:lineRule="auto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解决方案与客户案例：智能推荐；</w:t>
            </w:r>
          </w:p>
          <w:p>
            <w:pPr>
              <w:pStyle w:val="11"/>
              <w:spacing w:line="360" w:lineRule="auto"/>
              <w:ind w:left="360" w:firstLine="0" w:firstLineChars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D0D0D"/>
                <w:spacing w:val="20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征途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第二天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上午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9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0</w:t>
            </w:r>
            <w:r>
              <w:rPr>
                <w:rFonts w:asciiTheme="minorEastAsia" w:hAnsiTheme="minorEastAsia" w:eastAsiaTheme="minorEastAsia"/>
              </w:rPr>
              <w:t>0-11:30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cs="宋体" w:asciiTheme="minorEastAsia" w:hAnsiTheme="minorEastAsia"/>
                <w:bCs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zh-CN"/>
              </w:rPr>
              <w:t>A、营销云概述</w:t>
            </w:r>
          </w:p>
          <w:p>
            <w:pPr>
              <w:pStyle w:val="3"/>
              <w:rPr>
                <w:rFonts w:cs="宋体" w:asciiTheme="minorEastAsia" w:hAnsiTheme="minorEastAsia"/>
                <w:bCs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zh-CN"/>
              </w:rPr>
              <w:t>B、DSP解决方案</w:t>
            </w:r>
          </w:p>
          <w:p>
            <w:pPr>
              <w:pStyle w:val="3"/>
              <w:rPr>
                <w:rFonts w:cs="宋体" w:asciiTheme="minorEastAsia" w:hAnsiTheme="minorEastAsia"/>
                <w:bCs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zh-CN"/>
              </w:rPr>
              <w:t>C、DMP解决方案</w:t>
            </w:r>
          </w:p>
          <w:p>
            <w:pPr>
              <w:pStyle w:val="2"/>
              <w:spacing w:line="400" w:lineRule="exact"/>
              <w:ind w:left="315" w:firstLine="0"/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D0D0D"/>
                <w:spacing w:val="20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李涛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中午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11:30-13:00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中餐、午休、集体合影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承办方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下午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13:00-1</w:t>
            </w:r>
            <w:r>
              <w:rPr>
                <w:rFonts w:hint="eastAsia" w:asciiTheme="minorEastAsia" w:hAnsiTheme="minorEastAsia" w:eastAsiaTheme="minorEastAsia"/>
              </w:rPr>
              <w:t>6</w:t>
            </w:r>
            <w:r>
              <w:rPr>
                <w:rFonts w:asciiTheme="minorEastAsia" w:hAnsiTheme="minorEastAsia" w:eastAsiaTheme="minorEastAsia"/>
              </w:rPr>
              <w:t>:</w:t>
            </w: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0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rPr>
                <w:rFonts w:cs="宋体" w:asciiTheme="minorEastAsia" w:hAnsiTheme="minorEastAsia"/>
                <w:bCs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zh-CN"/>
              </w:rPr>
              <w:t>A、应用案例</w:t>
            </w:r>
          </w:p>
          <w:p>
            <w:pPr>
              <w:pStyle w:val="3"/>
              <w:rPr>
                <w:rFonts w:cs="宋体" w:asciiTheme="minorEastAsia" w:hAnsiTheme="minorEastAsia"/>
                <w:bCs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zh-CN"/>
              </w:rPr>
              <w:t>B、总结与回顾</w:t>
            </w:r>
          </w:p>
          <w:p>
            <w:pPr>
              <w:pStyle w:val="2"/>
              <w:spacing w:line="400" w:lineRule="exact"/>
              <w:ind w:firstLine="0"/>
              <w:rPr>
                <w:rFonts w:cs="宋体" w:asciiTheme="minorEastAsia" w:hAnsiTheme="minorEastAsia" w:eastAsiaTheme="minorEastAsia"/>
                <w:bCs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  <w:lang w:val="zh-CN"/>
              </w:rPr>
              <w:t>C、学员提问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right w:val="thinThickSmallGap" w:color="000000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D0D0D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李涛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 w:eastAsiaTheme="minorEastAsia"/>
                <w:b/>
                <w:bCs/>
                <w:color w:val="0D0D0D"/>
              </w:rPr>
            </w:pPr>
          </w:p>
        </w:tc>
      </w:tr>
    </w:tbl>
    <w:p>
      <w:pPr>
        <w:widowControl/>
        <w:shd w:val="clear" w:color="auto" w:fill="FFFFFF"/>
        <w:spacing w:line="332" w:lineRule="atLeast"/>
        <w:jc w:val="left"/>
        <w:textAlignment w:val="baseline"/>
        <w:rPr>
          <w:rFonts w:ascii="微软雅黑" w:hAnsi="微软雅黑" w:eastAsia="微软雅黑" w:cs="Arial"/>
          <w:color w:val="000000"/>
          <w:kern w:val="0"/>
          <w:sz w:val="20"/>
          <w:szCs w:val="20"/>
        </w:rPr>
      </w:pPr>
    </w:p>
    <w:p>
      <w:pPr>
        <w:widowControl/>
        <w:shd w:val="clear" w:color="auto" w:fill="FFFFFF"/>
        <w:spacing w:line="332" w:lineRule="atLeast"/>
        <w:jc w:val="left"/>
        <w:textAlignment w:val="baseline"/>
        <w:rPr>
          <w:rFonts w:cs="Arial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32"/>
          <w:szCs w:val="32"/>
        </w:rPr>
        <w:t>二、讲师介绍</w:t>
      </w:r>
    </w:p>
    <w:p>
      <w:pPr>
        <w:widowControl/>
        <w:shd w:val="clear" w:color="auto" w:fill="FFFFFF"/>
        <w:spacing w:line="480" w:lineRule="auto"/>
        <w:jc w:val="left"/>
        <w:textAlignment w:val="baseline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 xml:space="preserve">李涛 </w:t>
      </w:r>
    </w:p>
    <w:p>
      <w:pPr>
        <w:widowControl/>
        <w:shd w:val="clear" w:color="auto" w:fill="FFFFFF"/>
        <w:spacing w:line="480" w:lineRule="auto"/>
        <w:jc w:val="left"/>
        <w:textAlignment w:val="baseline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职务：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百度软件工程团队负责人</w:t>
      </w:r>
    </w:p>
    <w:p>
      <w:pPr>
        <w:widowControl/>
        <w:shd w:val="clear" w:color="auto" w:fill="FFFFFF"/>
        <w:spacing w:line="480" w:lineRule="auto"/>
        <w:ind w:firstLine="480" w:firstLineChars="200"/>
        <w:jc w:val="left"/>
        <w:textAlignment w:val="baseline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个人简介：2012年加入百度，一直工作在互联网产品研发转型的第一线，积累了业务与方法结合的丰富经验。带领团队辅助百度搜索，手机百度，百度地图，百度糯米，百度云等公司战略产品的敏捷转型和产品研发改进工作，取得显著成效。多个行业会议的演讲嘉宾和主题制作人。也是『移动计算原理』『用户故事地图』两本书的中文译者，是百度方法+发起人。</w:t>
      </w:r>
    </w:p>
    <w:p>
      <w:pPr>
        <w:spacing w:line="48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widowControl/>
        <w:shd w:val="clear" w:color="auto" w:fill="FFFFFF"/>
        <w:spacing w:line="480" w:lineRule="auto"/>
        <w:jc w:val="left"/>
        <w:textAlignment w:val="baseline"/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  <w:lang w:val="en-US" w:eastAsia="zh-CN"/>
        </w:rPr>
        <w:t>征途</w:t>
      </w:r>
    </w:p>
    <w:p>
      <w:pPr>
        <w:widowControl/>
        <w:shd w:val="clear" w:color="auto" w:fill="FFFFFF"/>
        <w:spacing w:line="480" w:lineRule="auto"/>
        <w:jc w:val="left"/>
        <w:textAlignment w:val="baseline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职务：百度云智学院高级讲师</w:t>
      </w:r>
    </w:p>
    <w:p>
      <w:pPr>
        <w:widowControl/>
        <w:shd w:val="clear" w:color="auto" w:fill="FFFFFF"/>
        <w:spacing w:line="480" w:lineRule="auto"/>
        <w:ind w:firstLine="480" w:firstLineChars="200"/>
        <w:jc w:val="left"/>
        <w:textAlignment w:val="baseline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个人简介：计算机专业博士，高校教授，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现为百度云智学院高级讲师。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具有多年从事IT项目开发、设计、规划经验，在大型国企担任研发和培训教师的经历。专注于云计算和大数据在能源领域的应用开发，在电力大数据，高性能数据分析等领域有深入的理解，支持与参与多项国家、省部级的大数据、区块链等方面的研究实践项目，发表SCI、EI期刊论文十多篇，专著一部，发明专利二项。</w:t>
      </w:r>
    </w:p>
    <w:p>
      <w:pPr>
        <w:widowControl/>
        <w:shd w:val="clear" w:color="auto" w:fill="FFFFFF"/>
        <w:spacing w:line="332" w:lineRule="atLeast"/>
        <w:jc w:val="left"/>
        <w:textAlignment w:val="baseline"/>
        <w:rPr>
          <w:rFonts w:cs="Arial" w:asciiTheme="minorEastAsia" w:hAnsiTheme="minorEastAsia" w:eastAsiaTheme="minorEastAsia"/>
          <w:color w:val="000000"/>
          <w:kern w:val="0"/>
        </w:rPr>
      </w:pPr>
    </w:p>
    <w:p/>
    <w:p>
      <w:pPr>
        <w:jc w:val="left"/>
        <w:rPr>
          <w:lang w:val="en-US" w:eastAsia="zh-CN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cs="黑体" w:asciiTheme="minorEastAsia" w:hAnsiTheme="minorEastAsia" w:eastAsiaTheme="minorEastAsia"/>
          <w:b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sz w:val="32"/>
          <w:szCs w:val="32"/>
        </w:rPr>
        <w:t>附件2:</w:t>
      </w:r>
    </w:p>
    <w:p>
      <w:pPr>
        <w:pStyle w:val="5"/>
        <w:pBdr>
          <w:bottom w:val="none" w:color="auto" w:sz="0" w:space="0"/>
        </w:pBdr>
        <w:jc w:val="both"/>
        <w:rPr>
          <w:rFonts w:cs="Times New Roman" w:asciiTheme="minorEastAsia" w:hAnsiTheme="minorEastAsia" w:eastAsiaTheme="minorEastAsia"/>
          <w:b/>
          <w:bCs/>
          <w:sz w:val="32"/>
          <w:szCs w:val="32"/>
        </w:rPr>
      </w:pPr>
    </w:p>
    <w:p>
      <w:pPr>
        <w:jc w:val="center"/>
        <w:rPr>
          <w:rFonts w:cs="Times New Roman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 w:eastAsiaTheme="minorEastAsia"/>
          <w:b/>
          <w:bCs/>
          <w:sz w:val="36"/>
          <w:szCs w:val="36"/>
        </w:rPr>
        <w:t>《大数据精准营销》培训班报名申请表</w:t>
      </w:r>
    </w:p>
    <w:p>
      <w:pPr>
        <w:jc w:val="left"/>
        <w:rPr>
          <w:rFonts w:cs="Times New Roman" w:asciiTheme="minorEastAsia" w:hAnsiTheme="minorEastAsia" w:eastAsiaTheme="minorEastAsia"/>
          <w:b/>
          <w:bCs/>
          <w:sz w:val="24"/>
          <w:szCs w:val="24"/>
        </w:rPr>
      </w:pPr>
    </w:p>
    <w:p>
      <w:pPr>
        <w:spacing w:line="500" w:lineRule="exact"/>
        <w:ind w:firstLine="120" w:firstLineChars="50"/>
        <w:jc w:val="left"/>
        <w:rPr>
          <w:rFonts w:cs="Times New Roman"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企业名称（盖章）：                       所属县（市）区：</w:t>
      </w:r>
    </w:p>
    <w:tbl>
      <w:tblPr>
        <w:tblStyle w:val="8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2192"/>
        <w:gridCol w:w="2268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所在企业主导产品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所在企业上年销售（万元）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所在企业员工人数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企业网址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对本次课程建议</w:t>
            </w:r>
          </w:p>
        </w:tc>
        <w:tc>
          <w:tcPr>
            <w:tcW w:w="6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cs="Times New Roman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t>备注：</w:t>
      </w:r>
    </w:p>
    <w:p>
      <w:pPr>
        <w:spacing w:line="500" w:lineRule="exact"/>
        <w:rPr>
          <w:rFonts w:cs="Times New Roman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t>1、报名参加培训的学员必须全程参加培训整个过程，并配合做好培训测评。</w:t>
      </w:r>
    </w:p>
    <w:p>
      <w:pPr>
        <w:spacing w:line="500" w:lineRule="exact"/>
        <w:rPr>
          <w:rFonts w:hint="eastAsia" w:cs="楷体_GB2312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t>2、请如实填写报名表，邮件发送至：</w:t>
      </w: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fldChar w:fldCharType="begin"/>
      </w: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instrText xml:space="preserve"> HYPERLINK "mailto:2362817810@qq.com，并确认是否收到。" </w:instrText>
      </w: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fldChar w:fldCharType="separate"/>
      </w:r>
      <w:r>
        <w:rPr>
          <w:rStyle w:val="7"/>
          <w:rFonts w:hint="eastAsia" w:cs="楷体_GB2312" w:asciiTheme="minorEastAsia" w:hAnsiTheme="minorEastAsia" w:eastAsiaTheme="minorEastAsia"/>
          <w:sz w:val="24"/>
          <w:szCs w:val="24"/>
        </w:rPr>
        <w:t>2362817810@qq.com，并确认是否收到。</w:t>
      </w: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fldChar w:fldCharType="end"/>
      </w:r>
    </w:p>
    <w:p>
      <w:pPr>
        <w:spacing w:line="500" w:lineRule="exact"/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</w:rPr>
        <w:t>3、 报名后如有特殊情况不能参加的，请提前五天与承办单位联络，电话联系0574－55864800或180 6911 0168刘老师。</w:t>
      </w:r>
    </w:p>
    <w:p>
      <w:pPr>
        <w:spacing w:line="500" w:lineRule="exact"/>
        <w:rPr>
          <w:rFonts w:hint="eastAsia" w:cs="楷体_GB2312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cs="楷体_GB2312" w:asciiTheme="minorEastAsia" w:hAnsiTheme="minorEastAsia" w:eastAsiaTheme="minorEastAsia"/>
          <w:color w:val="000000"/>
          <w:sz w:val="24"/>
          <w:szCs w:val="24"/>
          <w:lang w:val="en-US" w:eastAsia="zh-CN"/>
        </w:rPr>
        <w:t>4、培训时间：10月31日--11月1日</w:t>
      </w:r>
    </w:p>
    <w:p>
      <w:pPr>
        <w:rPr>
          <w:rFonts w:asciiTheme="minorEastAsia" w:hAnsiTheme="minorEastAsia" w:eastAsiaTheme="minorEastAsia"/>
        </w:rPr>
      </w:pPr>
    </w:p>
    <w:p>
      <w:pPr>
        <w:jc w:val="left"/>
        <w:rPr>
          <w:lang w:val="en-US" w:eastAsia="zh-CN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spacing w:line="500" w:lineRule="exact"/>
        <w:rPr>
          <w:rFonts w:ascii="楷体_GB2312" w:eastAsia="楷体_GB2312" w:cs="Times New Roman"/>
          <w:color w:val="000000"/>
          <w:sz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</w:rPr>
        <w:t>:</w:t>
      </w:r>
      <w:r>
        <w:rPr>
          <w:rFonts w:hint="eastAsia" w:cs="黑体" w:asciiTheme="minorEastAsia" w:hAnsiTheme="minorEastAsia"/>
          <w:sz w:val="28"/>
          <w:szCs w:val="28"/>
        </w:rPr>
        <w:t>宁波市先进制造业培训中心行车路线图</w:t>
      </w:r>
    </w:p>
    <w:p/>
    <w:p>
      <w:r>
        <w:rPr>
          <w:rFonts w:hint="eastAsia"/>
        </w:rPr>
        <w:drawing>
          <wp:inline distT="0" distB="0" distL="114300" distR="114300">
            <wp:extent cx="3776345" cy="3900805"/>
            <wp:effectExtent l="0" t="0" r="14605" b="4445"/>
            <wp:docPr id="6" name="图片 6" descr="IMG_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34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6904" cy="390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1,象山方向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丹城→汽车东站→地铁1号线 (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到大卿桥站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)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2，宁海方向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城关→汽车南站→301路【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中山西路翠柏路口站 下车（站台在大卿桥B出口附近）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】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3，奉化方向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公交路线1：奉化8路（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中山公园站上车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） → 181路（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河头路口站上车到栎社站 下车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）步行400米→ 地铁2号线（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鼓楼站内换乘1号线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） → 地铁1号线 (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到大卿桥站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)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4，余姚方向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公交路线1:余姚403路（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市政府站上车到汽车南站 下车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）步行140米 → 余姚515路（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余姚汽车南站上车到外埠头站下车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）步行200米 → 301路（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大隐工业园区站上车到高桥镇政府(农贸市场)站下车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 ）步行80米→ 地铁1号线(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高桥站上车到大卿桥站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)</w:t>
      </w: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</w:p>
    <w:p>
      <w:pPr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5，慈溪方向</w:t>
      </w:r>
    </w:p>
    <w:p>
      <w:pPr>
        <w:rPr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公交线路1：慈溪293路(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商都站上车到匡堰站 下车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)步行570米 → 慈溪200路（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匡堰站上车到龙山公交中心站 下车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）步行40米 → 378路（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龙山公交中心站上车到红梅新村站下车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）步行710米 → 地铁2号线（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大通桥站上车到鼓楼站内换乘1号线）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 → 地铁1号线 (</w:t>
      </w:r>
      <w:r>
        <w:rPr>
          <w:rFonts w:hint="eastAsia" w:asciiTheme="majorEastAsia" w:hAnsiTheme="majorEastAsia" w:eastAsiaTheme="majorEastAsia" w:cstheme="majorEastAsia"/>
          <w:color w:val="C00000"/>
          <w:sz w:val="18"/>
          <w:szCs w:val="18"/>
        </w:rPr>
        <w:t>到大卿桥站</w:t>
      </w:r>
      <w:r>
        <w:rPr>
          <w:rFonts w:hint="eastAsia" w:asciiTheme="majorEastAsia" w:hAnsiTheme="majorEastAsia" w:eastAsiaTheme="majorEastAsia" w:cstheme="majorEastAsia"/>
          <w:sz w:val="18"/>
          <w:szCs w:val="18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DBE"/>
    <w:multiLevelType w:val="multilevel"/>
    <w:tmpl w:val="0E310DBE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74119E"/>
    <w:multiLevelType w:val="multilevel"/>
    <w:tmpl w:val="3774119E"/>
    <w:lvl w:ilvl="0" w:tentative="0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957B50"/>
    <w:multiLevelType w:val="multilevel"/>
    <w:tmpl w:val="5C957B50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702BFA"/>
    <w:multiLevelType w:val="multilevel"/>
    <w:tmpl w:val="62702BFA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5C16C8B"/>
    <w:multiLevelType w:val="multilevel"/>
    <w:tmpl w:val="65C16C8B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ascii="微软雅黑" w:hAnsi="微软雅黑" w:eastAsia="微软雅黑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906C82"/>
    <w:multiLevelType w:val="multilevel"/>
    <w:tmpl w:val="6D906C82"/>
    <w:lvl w:ilvl="0" w:tentative="0">
      <w:start w:val="2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2B"/>
    <w:rsid w:val="000E351B"/>
    <w:rsid w:val="001838BE"/>
    <w:rsid w:val="002230B1"/>
    <w:rsid w:val="0024755A"/>
    <w:rsid w:val="00251DBE"/>
    <w:rsid w:val="00255B74"/>
    <w:rsid w:val="003A0A31"/>
    <w:rsid w:val="00414B06"/>
    <w:rsid w:val="00452DDD"/>
    <w:rsid w:val="00495488"/>
    <w:rsid w:val="00502DEF"/>
    <w:rsid w:val="005747CF"/>
    <w:rsid w:val="0065516A"/>
    <w:rsid w:val="006C7F2B"/>
    <w:rsid w:val="008E03BF"/>
    <w:rsid w:val="009F0712"/>
    <w:rsid w:val="00C95EFA"/>
    <w:rsid w:val="00DF329A"/>
    <w:rsid w:val="00E14DBC"/>
    <w:rsid w:val="00E219C8"/>
    <w:rsid w:val="00E830A3"/>
    <w:rsid w:val="00F73F68"/>
    <w:rsid w:val="070C2CA9"/>
    <w:rsid w:val="20E65B06"/>
    <w:rsid w:val="22D762E9"/>
    <w:rsid w:val="2ED46294"/>
    <w:rsid w:val="30007F80"/>
    <w:rsid w:val="31433DD4"/>
    <w:rsid w:val="48B9700F"/>
    <w:rsid w:val="496A50CF"/>
    <w:rsid w:val="4A6F102B"/>
    <w:rsid w:val="539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80" w:lineRule="exact"/>
      <w:ind w:firstLine="480"/>
    </w:pPr>
    <w:rPr>
      <w:rFonts w:eastAsia="方正书宋简体" w:asciiTheme="minorHAnsi" w:hAnsiTheme="minorHAnsi" w:cstheme="minorBidi"/>
      <w:szCs w:val="22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Theme="minorEastAsia" w:cstheme="minorBidi"/>
      <w:szCs w:val="2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966</Characters>
  <Lines>8</Lines>
  <Paragraphs>2</Paragraphs>
  <ScaleCrop>false</ScaleCrop>
  <LinksUpToDate>false</LinksUpToDate>
  <CharactersWithSpaces>1133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2017-09-26T04:29:00Z</dcterms:created>
  <dc:creator>usas</dc:creator>
  <cp:lastModifiedBy>Administrator</cp:lastModifiedBy>
  <dcterms:modified xsi:type="dcterms:W3CDTF">2017-10-11T01:25:58Z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