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宋体" w:hAnsi="宋体" w:eastAsia="宋体" w:cs="创艺简标宋"/>
          <w:b/>
          <w:color w:val="000000"/>
          <w:sz w:val="44"/>
          <w:szCs w:val="44"/>
        </w:rPr>
      </w:pPr>
      <w:bookmarkStart w:id="0" w:name="_GoBack"/>
      <w:bookmarkEnd w:id="0"/>
      <w:r>
        <w:rPr>
          <w:rFonts w:hint="eastAsia" w:ascii="宋体" w:hAnsi="宋体" w:eastAsia="宋体" w:cs="创艺简标宋"/>
          <w:b/>
          <w:color w:val="000000"/>
          <w:sz w:val="44"/>
          <w:szCs w:val="44"/>
        </w:rPr>
        <w:t>关于开展</w:t>
      </w:r>
      <w:r>
        <w:rPr>
          <w:rFonts w:ascii="宋体" w:hAnsi="宋体" w:eastAsia="宋体" w:cs="创艺简标宋"/>
          <w:b/>
          <w:color w:val="000000"/>
          <w:sz w:val="44"/>
          <w:szCs w:val="44"/>
        </w:rPr>
        <w:t>2017</w:t>
      </w:r>
      <w:r>
        <w:rPr>
          <w:rFonts w:hint="eastAsia" w:ascii="宋体" w:hAnsi="宋体" w:eastAsia="宋体" w:cs="创艺简标宋"/>
          <w:b/>
          <w:color w:val="000000"/>
          <w:sz w:val="44"/>
          <w:szCs w:val="44"/>
        </w:rPr>
        <w:t>年度浙江出口名牌</w:t>
      </w:r>
    </w:p>
    <w:p>
      <w:pPr>
        <w:spacing w:line="700" w:lineRule="exact"/>
        <w:jc w:val="center"/>
        <w:rPr>
          <w:rFonts w:ascii="宋体" w:hAnsi="宋体" w:eastAsia="宋体"/>
          <w:b/>
          <w:color w:val="000000"/>
          <w:sz w:val="44"/>
          <w:szCs w:val="44"/>
        </w:rPr>
      </w:pPr>
      <w:r>
        <w:rPr>
          <w:rFonts w:hint="eastAsia" w:ascii="宋体" w:hAnsi="宋体" w:eastAsia="宋体" w:cs="创艺简标宋"/>
          <w:b/>
          <w:color w:val="000000"/>
          <w:sz w:val="44"/>
          <w:szCs w:val="44"/>
        </w:rPr>
        <w:t>暨宁波出口名牌培育工作的通知</w:t>
      </w:r>
    </w:p>
    <w:p>
      <w:pPr>
        <w:spacing w:line="680" w:lineRule="exact"/>
        <w:jc w:val="center"/>
        <w:rPr>
          <w:rFonts w:ascii="创艺简标宋" w:eastAsia="创艺简标宋"/>
          <w:color w:val="000000"/>
          <w:sz w:val="44"/>
          <w:szCs w:val="44"/>
        </w:rPr>
      </w:pPr>
    </w:p>
    <w:p>
      <w:pPr>
        <w:rPr>
          <w:color w:val="000000"/>
        </w:rPr>
      </w:pPr>
      <w:r>
        <w:rPr>
          <w:rFonts w:hint="eastAsia" w:cs="仿宋_GB2312"/>
          <w:color w:val="000000"/>
        </w:rPr>
        <w:t>各有关企业：</w:t>
      </w:r>
    </w:p>
    <w:p>
      <w:pPr>
        <w:ind w:firstLine="624" w:firstLineChars="200"/>
        <w:rPr>
          <w:rFonts w:ascii="仿宋_GB2312"/>
          <w:color w:val="000000"/>
        </w:rPr>
      </w:pPr>
      <w:r>
        <w:rPr>
          <w:rFonts w:hint="eastAsia" w:cs="仿宋_GB2312"/>
          <w:color w:val="000000"/>
        </w:rPr>
        <w:t>为深入贯彻国务院和省委、省政府决策部署，全面实施《中国制造</w:t>
      </w:r>
      <w:r>
        <w:rPr>
          <w:color w:val="000000"/>
        </w:rPr>
        <w:t>2025</w:t>
      </w:r>
      <w:r>
        <w:rPr>
          <w:rFonts w:hint="eastAsia" w:cs="仿宋_GB2312"/>
          <w:color w:val="000000"/>
        </w:rPr>
        <w:t>浙江行动纲要》，进一步</w:t>
      </w:r>
      <w:r>
        <w:rPr>
          <w:rFonts w:hint="eastAsia" w:ascii="仿宋_GB2312" w:cs="仿宋_GB2312"/>
          <w:color w:val="000000"/>
        </w:rPr>
        <w:t>落实《宁波市人民政府关于进一步促进外贸持续稳定增长的实施意见》（甬政发〔</w:t>
      </w:r>
      <w:r>
        <w:rPr>
          <w:rFonts w:ascii="仿宋_GB2312" w:cs="仿宋_GB2312"/>
          <w:color w:val="000000"/>
        </w:rPr>
        <w:t>2016</w:t>
      </w:r>
      <w:r>
        <w:rPr>
          <w:rFonts w:hint="eastAsia" w:ascii="仿宋_GB2312" w:cs="仿宋_GB2312"/>
          <w:color w:val="000000"/>
        </w:rPr>
        <w:t>〕</w:t>
      </w:r>
      <w:r>
        <w:rPr>
          <w:rFonts w:ascii="仿宋_GB2312" w:cs="仿宋_GB2312"/>
          <w:color w:val="000000"/>
        </w:rPr>
        <w:t>74</w:t>
      </w:r>
      <w:r>
        <w:rPr>
          <w:rFonts w:hint="eastAsia" w:ascii="仿宋_GB2312" w:cs="仿宋_GB2312"/>
          <w:color w:val="000000"/>
        </w:rPr>
        <w:t>号），深入实施“品牌强贸”战略和“宁波制造”品牌打造工程</w:t>
      </w:r>
      <w:r>
        <w:rPr>
          <w:rFonts w:hint="eastAsia" w:cs="仿宋_GB2312"/>
          <w:color w:val="000000"/>
        </w:rPr>
        <w:t>，根据</w:t>
      </w:r>
      <w:r>
        <w:rPr>
          <w:rFonts w:hint="eastAsia" w:ascii="仿宋_GB2312" w:cs="仿宋_GB2312"/>
          <w:color w:val="000000"/>
        </w:rPr>
        <w:t>《浙江省商务厅关于开展</w:t>
      </w:r>
      <w:r>
        <w:rPr>
          <w:rFonts w:ascii="仿宋_GB2312" w:cs="仿宋_GB2312"/>
          <w:color w:val="000000"/>
        </w:rPr>
        <w:t>2017</w:t>
      </w:r>
      <w:r>
        <w:rPr>
          <w:rFonts w:hint="eastAsia" w:ascii="仿宋_GB2312" w:cs="仿宋_GB2312"/>
          <w:color w:val="000000"/>
        </w:rPr>
        <w:t>年度“浙江出口名牌”培育及报送</w:t>
      </w:r>
      <w:r>
        <w:rPr>
          <w:rFonts w:ascii="仿宋_GB2312" w:cs="仿宋_GB2312"/>
          <w:color w:val="000000"/>
        </w:rPr>
        <w:t>2016</w:t>
      </w:r>
      <w:r>
        <w:rPr>
          <w:rFonts w:hint="eastAsia" w:ascii="仿宋_GB2312" w:cs="仿宋_GB2312"/>
          <w:color w:val="000000"/>
        </w:rPr>
        <w:t>年度“浙江出口名牌”企业信息的通知》（</w:t>
      </w:r>
      <w:r>
        <w:rPr>
          <w:rFonts w:hint="eastAsia" w:ascii="仿宋_GB2312" w:cs="仿宋_GB2312"/>
          <w:color w:val="000000"/>
          <w:kern w:val="0"/>
        </w:rPr>
        <w:t>浙商务发〔</w:t>
      </w:r>
      <w:r>
        <w:rPr>
          <w:rFonts w:ascii="仿宋_GB2312" w:cs="仿宋_GB2312"/>
          <w:color w:val="000000"/>
          <w:kern w:val="0"/>
        </w:rPr>
        <w:t>2017</w:t>
      </w:r>
      <w:r>
        <w:rPr>
          <w:rFonts w:hint="eastAsia" w:ascii="仿宋_GB2312" w:cs="仿宋_GB2312"/>
          <w:color w:val="000000"/>
          <w:kern w:val="0"/>
        </w:rPr>
        <w:t>〕</w:t>
      </w:r>
      <w:r>
        <w:rPr>
          <w:rFonts w:ascii="仿宋_GB2312" w:cs="仿宋_GB2312"/>
          <w:color w:val="000000"/>
          <w:kern w:val="0"/>
        </w:rPr>
        <w:t>116</w:t>
      </w:r>
      <w:r>
        <w:rPr>
          <w:rFonts w:hint="eastAsia" w:ascii="仿宋_GB2312" w:cs="仿宋_GB2312"/>
          <w:color w:val="000000"/>
          <w:kern w:val="0"/>
        </w:rPr>
        <w:t>号</w:t>
      </w:r>
      <w:r>
        <w:rPr>
          <w:rFonts w:hint="eastAsia" w:ascii="仿宋_GB2312" w:cs="仿宋_GB2312"/>
          <w:color w:val="000000"/>
        </w:rPr>
        <w:t>），经研究决定，结合我县实际开展</w:t>
      </w:r>
      <w:r>
        <w:rPr>
          <w:rFonts w:ascii="仿宋_GB2312" w:cs="仿宋_GB2312"/>
          <w:color w:val="000000"/>
        </w:rPr>
        <w:t>2017</w:t>
      </w:r>
      <w:r>
        <w:rPr>
          <w:rFonts w:hint="eastAsia" w:ascii="仿宋_GB2312" w:cs="仿宋_GB2312"/>
          <w:color w:val="000000"/>
        </w:rPr>
        <w:t>年度“浙江出口名牌”暨“宁波出口名牌”培育申报工作。现将有关事项通知如下：</w:t>
      </w:r>
    </w:p>
    <w:p>
      <w:pPr>
        <w:ind w:firstLine="624" w:firstLineChars="200"/>
        <w:rPr>
          <w:rFonts w:ascii="黑体" w:eastAsia="黑体"/>
          <w:color w:val="000000"/>
        </w:rPr>
      </w:pPr>
      <w:r>
        <w:rPr>
          <w:rFonts w:hint="eastAsia" w:ascii="黑体" w:eastAsia="黑体" w:cs="黑体"/>
          <w:color w:val="000000"/>
        </w:rPr>
        <w:t>一、积极组织符合条件的出口品牌企业申报“浙江出口名牌”</w:t>
      </w:r>
    </w:p>
    <w:p>
      <w:pPr>
        <w:ind w:firstLine="624" w:firstLineChars="200"/>
        <w:rPr>
          <w:rFonts w:ascii="仿宋_GB2312"/>
          <w:color w:val="000000"/>
        </w:rPr>
      </w:pPr>
      <w:r>
        <w:rPr>
          <w:rFonts w:hint="eastAsia" w:ascii="仿宋_GB2312" w:cs="仿宋_GB2312"/>
          <w:color w:val="000000"/>
        </w:rPr>
        <w:t>根据《宁波市商务委</w:t>
      </w:r>
      <w:r>
        <w:rPr>
          <w:rFonts w:ascii="仿宋_GB2312" w:cs="仿宋_GB2312"/>
          <w:color w:val="000000"/>
        </w:rPr>
        <w:t xml:space="preserve"> </w:t>
      </w:r>
      <w:r>
        <w:rPr>
          <w:rFonts w:hint="eastAsia" w:ascii="仿宋_GB2312" w:cs="仿宋_GB2312"/>
          <w:color w:val="000000"/>
        </w:rPr>
        <w:t>宁波市财政局关于印发宁波市商务促进专项资金使用管理办法的通知》（甬商务财</w:t>
      </w:r>
      <w:r>
        <w:rPr>
          <w:rFonts w:hint="eastAsia" w:ascii="仿宋" w:hAnsi="仿宋" w:eastAsia="仿宋" w:cs="仿宋"/>
          <w:color w:val="000000"/>
        </w:rPr>
        <w:t>﹝</w:t>
      </w:r>
      <w:r>
        <w:rPr>
          <w:rFonts w:ascii="仿宋" w:hAnsi="仿宋" w:eastAsia="仿宋" w:cs="仿宋"/>
          <w:color w:val="000000"/>
        </w:rPr>
        <w:t>2016</w:t>
      </w:r>
      <w:r>
        <w:rPr>
          <w:rFonts w:hint="eastAsia" w:ascii="仿宋" w:hAnsi="仿宋" w:eastAsia="仿宋" w:cs="仿宋"/>
          <w:color w:val="000000"/>
        </w:rPr>
        <w:t>﹞</w:t>
      </w:r>
      <w:r>
        <w:rPr>
          <w:rFonts w:ascii="仿宋" w:hAnsi="仿宋" w:eastAsia="仿宋" w:cs="仿宋"/>
          <w:color w:val="000000"/>
        </w:rPr>
        <w:t>51</w:t>
      </w:r>
      <w:r>
        <w:rPr>
          <w:rFonts w:hint="eastAsia" w:ascii="仿宋" w:hAnsi="仿宋" w:eastAsia="仿宋" w:cs="仿宋"/>
          <w:color w:val="000000"/>
        </w:rPr>
        <w:t>号</w:t>
      </w:r>
      <w:r>
        <w:rPr>
          <w:rFonts w:hint="eastAsia" w:ascii="仿宋_GB2312" w:cs="仿宋_GB2312"/>
          <w:color w:val="000000"/>
        </w:rPr>
        <w:t>）规定：“对当年度列入浙江出口名牌的企业，一次性给予每个品牌最高</w:t>
      </w:r>
      <w:r>
        <w:rPr>
          <w:rFonts w:ascii="仿宋_GB2312" w:cs="仿宋_GB2312"/>
          <w:color w:val="000000"/>
        </w:rPr>
        <w:t>10</w:t>
      </w:r>
      <w:r>
        <w:rPr>
          <w:rFonts w:hint="eastAsia" w:ascii="仿宋_GB2312" w:cs="仿宋_GB2312"/>
          <w:color w:val="000000"/>
        </w:rPr>
        <w:t>万元的创牌补助”。</w:t>
      </w:r>
      <w:r>
        <w:rPr>
          <w:rFonts w:hint="eastAsia" w:cs="仿宋_GB2312"/>
          <w:color w:val="000000"/>
        </w:rPr>
        <w:t>今年宁波市商务委员会将继续推荐一批企业新增认定为</w:t>
      </w:r>
      <w:r>
        <w:rPr>
          <w:color w:val="000000"/>
        </w:rPr>
        <w:t>“</w:t>
      </w:r>
      <w:r>
        <w:rPr>
          <w:rFonts w:hint="eastAsia" w:cs="仿宋_GB2312"/>
          <w:color w:val="000000"/>
        </w:rPr>
        <w:t>浙江出口名</w:t>
      </w:r>
      <w:r>
        <w:rPr>
          <w:rFonts w:hint="eastAsia" w:ascii="仿宋_GB2312" w:cs="仿宋_GB2312"/>
          <w:color w:val="000000"/>
        </w:rPr>
        <w:t>牌”，资格条件、评审指标和评分标准参照附件</w:t>
      </w:r>
      <w:r>
        <w:rPr>
          <w:rFonts w:ascii="仿宋_GB2312" w:cs="仿宋_GB2312"/>
          <w:color w:val="000000"/>
        </w:rPr>
        <w:t>1</w:t>
      </w:r>
      <w:r>
        <w:rPr>
          <w:rFonts w:hint="eastAsia" w:ascii="仿宋_GB2312" w:cs="仿宋_GB2312"/>
          <w:color w:val="000000"/>
        </w:rPr>
        <w:t>执行。原则上，企业需获得宁波出口名牌后再参加浙江出口名牌申报。</w:t>
      </w:r>
      <w:r>
        <w:rPr>
          <w:rFonts w:hint="eastAsia" w:ascii="仿宋_GB2312" w:cs="仿宋_GB2312"/>
          <w:color w:val="000000"/>
          <w:highlight w:val="yellow"/>
        </w:rPr>
        <w:t>请各申报企业对申报品牌进行初步评分，如评分低于</w:t>
      </w:r>
      <w:r>
        <w:rPr>
          <w:rFonts w:ascii="仿宋_GB2312" w:cs="仿宋_GB2312"/>
          <w:color w:val="000000"/>
          <w:highlight w:val="yellow"/>
        </w:rPr>
        <w:t>60</w:t>
      </w:r>
      <w:r>
        <w:rPr>
          <w:rFonts w:hint="eastAsia" w:ascii="仿宋_GB2312" w:cs="仿宋_GB2312"/>
          <w:color w:val="000000"/>
          <w:highlight w:val="yellow"/>
        </w:rPr>
        <w:t>分，则不符合申报条件。</w:t>
      </w:r>
    </w:p>
    <w:p>
      <w:pPr>
        <w:ind w:firstLine="624" w:firstLineChars="200"/>
        <w:rPr>
          <w:rFonts w:ascii="黑体" w:eastAsia="黑体"/>
          <w:color w:val="000000"/>
        </w:rPr>
      </w:pPr>
      <w:r>
        <w:rPr>
          <w:rFonts w:hint="eastAsia" w:ascii="黑体" w:eastAsia="黑体" w:cs="黑体"/>
          <w:color w:val="000000"/>
        </w:rPr>
        <w:t>二、积极组织符合条件的出口品牌企业申报“宁波出口名牌”</w:t>
      </w:r>
    </w:p>
    <w:p>
      <w:pPr>
        <w:ind w:firstLine="624" w:firstLineChars="200"/>
        <w:rPr>
          <w:rFonts w:ascii="仿宋_GB2312"/>
          <w:color w:val="000000"/>
        </w:rPr>
      </w:pPr>
      <w:r>
        <w:rPr>
          <w:rFonts w:hint="eastAsia" w:ascii="仿宋_GB2312" w:cs="仿宋_GB2312"/>
          <w:color w:val="000000"/>
        </w:rPr>
        <w:t>“宁波出口名牌”是申报“浙江出口名牌”的基础条件之一。今年</w:t>
      </w:r>
      <w:r>
        <w:rPr>
          <w:rFonts w:hint="eastAsia" w:cs="仿宋_GB2312"/>
          <w:color w:val="000000"/>
        </w:rPr>
        <w:t>宁波市商务委员会</w:t>
      </w:r>
      <w:r>
        <w:rPr>
          <w:rFonts w:hint="eastAsia" w:ascii="仿宋_GB2312" w:cs="仿宋_GB2312"/>
          <w:color w:val="000000"/>
        </w:rPr>
        <w:t>将继续新增一批“宁波出口名牌”，资格条件、评审指标和评分标准参照附件</w:t>
      </w:r>
      <w:r>
        <w:rPr>
          <w:rFonts w:ascii="仿宋_GB2312" w:cs="仿宋_GB2312"/>
          <w:color w:val="000000"/>
        </w:rPr>
        <w:t>2</w:t>
      </w:r>
      <w:r>
        <w:rPr>
          <w:rFonts w:hint="eastAsia" w:ascii="仿宋_GB2312" w:cs="仿宋_GB2312"/>
          <w:color w:val="000000"/>
        </w:rPr>
        <w:t>执行。</w:t>
      </w:r>
      <w:r>
        <w:rPr>
          <w:rFonts w:hint="eastAsia" w:ascii="仿宋_GB2312" w:cs="仿宋_GB2312"/>
          <w:color w:val="000000"/>
          <w:highlight w:val="yellow"/>
        </w:rPr>
        <w:t>请各申报企业对申报品牌进行初步评分，如评分低于</w:t>
      </w:r>
      <w:r>
        <w:rPr>
          <w:rFonts w:ascii="仿宋_GB2312" w:cs="仿宋_GB2312"/>
          <w:color w:val="000000"/>
          <w:highlight w:val="yellow"/>
        </w:rPr>
        <w:t>50</w:t>
      </w:r>
      <w:r>
        <w:rPr>
          <w:rFonts w:hint="eastAsia" w:ascii="仿宋_GB2312" w:cs="仿宋_GB2312"/>
          <w:color w:val="000000"/>
          <w:highlight w:val="yellow"/>
        </w:rPr>
        <w:t>分，则不符合申报条件。</w:t>
      </w:r>
    </w:p>
    <w:p>
      <w:pPr>
        <w:ind w:firstLine="624" w:firstLineChars="200"/>
        <w:rPr>
          <w:rFonts w:ascii="黑体" w:eastAsia="黑体"/>
          <w:color w:val="000000"/>
        </w:rPr>
      </w:pPr>
      <w:r>
        <w:rPr>
          <w:rFonts w:hint="eastAsia" w:ascii="黑体" w:eastAsia="黑体" w:cs="黑体"/>
          <w:color w:val="000000"/>
        </w:rPr>
        <w:t>三、认真做好</w:t>
      </w:r>
      <w:r>
        <w:rPr>
          <w:rFonts w:ascii="黑体" w:eastAsia="黑体" w:cs="黑体"/>
          <w:color w:val="000000"/>
        </w:rPr>
        <w:t>2014</w:t>
      </w:r>
      <w:r>
        <w:rPr>
          <w:rFonts w:hint="eastAsia" w:ascii="黑体" w:eastAsia="黑体" w:cs="黑体"/>
          <w:color w:val="000000"/>
        </w:rPr>
        <w:t>年度</w:t>
      </w:r>
      <w:r>
        <w:rPr>
          <w:rFonts w:ascii="黑体" w:eastAsia="黑体"/>
          <w:color w:val="000000"/>
        </w:rPr>
        <w:t>“</w:t>
      </w:r>
      <w:r>
        <w:rPr>
          <w:rFonts w:hint="eastAsia" w:ascii="黑体" w:eastAsia="黑体" w:cs="黑体"/>
          <w:color w:val="000000"/>
        </w:rPr>
        <w:t>浙江出口名牌</w:t>
      </w:r>
      <w:r>
        <w:rPr>
          <w:rFonts w:ascii="黑体" w:eastAsia="黑体"/>
          <w:color w:val="000000"/>
        </w:rPr>
        <w:t>”</w:t>
      </w:r>
      <w:r>
        <w:rPr>
          <w:rFonts w:hint="eastAsia" w:ascii="黑体" w:eastAsia="黑体" w:cs="黑体"/>
          <w:color w:val="000000"/>
        </w:rPr>
        <w:t>、“宁波出口名牌”的复核组织工作</w:t>
      </w:r>
    </w:p>
    <w:p>
      <w:pPr>
        <w:ind w:firstLine="624" w:firstLineChars="200"/>
        <w:rPr>
          <w:rFonts w:ascii="仿宋_GB2312"/>
          <w:color w:val="000000"/>
        </w:rPr>
      </w:pPr>
      <w:r>
        <w:rPr>
          <w:rFonts w:hint="eastAsia" w:ascii="仿宋_GB2312" w:cs="仿宋_GB2312"/>
          <w:color w:val="000000"/>
        </w:rPr>
        <w:t>根据</w:t>
      </w:r>
      <w:r>
        <w:rPr>
          <w:rFonts w:ascii="仿宋_GB2312"/>
          <w:color w:val="000000"/>
        </w:rPr>
        <w:t>“</w:t>
      </w:r>
      <w:r>
        <w:rPr>
          <w:rFonts w:hint="eastAsia" w:ascii="仿宋_GB2312" w:cs="仿宋_GB2312"/>
          <w:color w:val="000000"/>
        </w:rPr>
        <w:t>浙江出口名牌</w:t>
      </w:r>
      <w:r>
        <w:rPr>
          <w:rFonts w:ascii="仿宋_GB2312"/>
          <w:color w:val="000000"/>
        </w:rPr>
        <w:t>”</w:t>
      </w:r>
      <w:r>
        <w:rPr>
          <w:rFonts w:hint="eastAsia" w:ascii="仿宋_GB2312" w:cs="仿宋_GB2312"/>
          <w:color w:val="000000"/>
        </w:rPr>
        <w:t>、“宁波出口名牌”三年有效期的规定，</w:t>
      </w:r>
      <w:r>
        <w:rPr>
          <w:rFonts w:ascii="仿宋_GB2312" w:cs="仿宋_GB2312"/>
          <w:color w:val="000000"/>
        </w:rPr>
        <w:t>2014</w:t>
      </w:r>
      <w:r>
        <w:rPr>
          <w:rFonts w:hint="eastAsia" w:ascii="仿宋_GB2312" w:cs="仿宋_GB2312"/>
          <w:color w:val="000000"/>
        </w:rPr>
        <w:t>年度认定的</w:t>
      </w:r>
      <w:r>
        <w:rPr>
          <w:rFonts w:ascii="仿宋_GB2312" w:cs="仿宋_GB2312"/>
          <w:color w:val="000000"/>
        </w:rPr>
        <w:t xml:space="preserve"> </w:t>
      </w:r>
      <w:r>
        <w:rPr>
          <w:rFonts w:ascii="仿宋_GB2312"/>
          <w:color w:val="000000"/>
        </w:rPr>
        <w:t>“</w:t>
      </w:r>
      <w:r>
        <w:rPr>
          <w:rFonts w:hint="eastAsia" w:ascii="仿宋_GB2312" w:cs="仿宋_GB2312"/>
          <w:color w:val="000000"/>
        </w:rPr>
        <w:t>浙江出口名牌</w:t>
      </w:r>
      <w:r>
        <w:rPr>
          <w:rFonts w:ascii="仿宋_GB2312"/>
          <w:color w:val="000000"/>
        </w:rPr>
        <w:t>”</w:t>
      </w:r>
      <w:r>
        <w:rPr>
          <w:rFonts w:hint="eastAsia" w:ascii="仿宋_GB2312" w:cs="仿宋_GB2312"/>
          <w:color w:val="000000"/>
        </w:rPr>
        <w:t>、“宁波出口名牌”将在今年底到期，需进行复核。对符合条件的企业宁波市商务委将重新推荐、认定。</w:t>
      </w:r>
      <w:r>
        <w:rPr>
          <w:rFonts w:hint="eastAsia" w:ascii="仿宋_GB2312" w:cs="仿宋_GB2312"/>
          <w:color w:val="000000"/>
          <w:highlight w:val="yellow"/>
        </w:rPr>
        <w:t>复核企业无最低评分要求。</w:t>
      </w:r>
    </w:p>
    <w:p>
      <w:pPr>
        <w:ind w:firstLine="624" w:firstLineChars="200"/>
        <w:rPr>
          <w:rFonts w:ascii="黑体" w:eastAsia="黑体"/>
          <w:color w:val="000000"/>
        </w:rPr>
      </w:pPr>
      <w:r>
        <w:rPr>
          <w:rFonts w:hint="eastAsia" w:ascii="黑体" w:eastAsia="黑体" w:cs="黑体"/>
          <w:color w:val="000000"/>
        </w:rPr>
        <w:t>四、按时上报申请材料</w:t>
      </w:r>
    </w:p>
    <w:p>
      <w:pPr>
        <w:ind w:firstLine="624" w:firstLineChars="200"/>
        <w:rPr>
          <w:rFonts w:ascii="仿宋_GB2312"/>
          <w:color w:val="000000"/>
        </w:rPr>
      </w:pPr>
      <w:r>
        <w:rPr>
          <w:rFonts w:hint="eastAsia" w:ascii="仿宋_GB2312" w:cs="仿宋_GB2312"/>
          <w:color w:val="000000"/>
        </w:rPr>
        <w:t>请有意向申报出口名牌的企业于</w:t>
      </w:r>
      <w:r>
        <w:rPr>
          <w:rFonts w:ascii="仿宋_GB2312" w:cs="仿宋_GB2312"/>
          <w:color w:val="000000"/>
        </w:rPr>
        <w:t>2017</w:t>
      </w:r>
      <w:r>
        <w:rPr>
          <w:rFonts w:hint="eastAsia" w:ascii="仿宋_GB2312" w:cs="仿宋_GB2312"/>
          <w:color w:val="000000"/>
        </w:rPr>
        <w:t>年</w:t>
      </w:r>
      <w:r>
        <w:rPr>
          <w:rFonts w:ascii="仿宋_GB2312" w:cs="仿宋_GB2312"/>
          <w:color w:val="000000"/>
        </w:rPr>
        <w:t>9</w:t>
      </w:r>
      <w:r>
        <w:rPr>
          <w:rFonts w:hint="eastAsia" w:ascii="仿宋_GB2312" w:cs="仿宋_GB2312"/>
          <w:color w:val="000000"/>
        </w:rPr>
        <w:t>月</w:t>
      </w:r>
      <w:r>
        <w:rPr>
          <w:rFonts w:ascii="仿宋_GB2312" w:cs="仿宋_GB2312"/>
          <w:color w:val="000000"/>
        </w:rPr>
        <w:t>14</w:t>
      </w:r>
      <w:r>
        <w:rPr>
          <w:rFonts w:hint="eastAsia" w:ascii="仿宋_GB2312" w:cs="仿宋_GB2312"/>
          <w:color w:val="000000"/>
        </w:rPr>
        <w:t>日前连将企业申报材料一式两份上报市商务委，所有复印件加盖公章，并将附件</w:t>
      </w:r>
      <w:r>
        <w:rPr>
          <w:rFonts w:ascii="仿宋_GB2312" w:cs="仿宋_GB2312"/>
          <w:color w:val="000000"/>
        </w:rPr>
        <w:t>5</w:t>
      </w:r>
      <w:r>
        <w:rPr>
          <w:rFonts w:hint="eastAsia" w:ascii="仿宋_GB2312" w:cs="仿宋_GB2312"/>
          <w:color w:val="000000"/>
        </w:rPr>
        <w:t>、</w:t>
      </w:r>
      <w:r>
        <w:rPr>
          <w:rFonts w:ascii="仿宋_GB2312" w:cs="仿宋_GB2312"/>
          <w:color w:val="000000"/>
        </w:rPr>
        <w:t>6</w:t>
      </w:r>
      <w:r>
        <w:rPr>
          <w:rFonts w:hint="eastAsia" w:ascii="仿宋_GB2312" w:cs="仿宋_GB2312"/>
          <w:color w:val="000000"/>
        </w:rPr>
        <w:t>电子版打包后发至电子邮箱</w:t>
      </w:r>
      <w:r>
        <w:rPr>
          <w:rFonts w:ascii="仿宋_GB2312" w:cs="仿宋_GB2312"/>
          <w:color w:val="000000"/>
        </w:rPr>
        <w:t>903252480@qq.com</w:t>
      </w:r>
      <w:r>
        <w:rPr>
          <w:rFonts w:hint="eastAsia" w:ascii="仿宋_GB2312" w:cs="仿宋_GB2312"/>
          <w:color w:val="000000"/>
        </w:rPr>
        <w:t>。</w:t>
      </w:r>
    </w:p>
    <w:p>
      <w:pPr>
        <w:ind w:firstLine="624" w:firstLineChars="200"/>
        <w:rPr>
          <w:rFonts w:ascii="仿宋_GB2312"/>
          <w:color w:val="000000"/>
        </w:rPr>
      </w:pPr>
      <w:r>
        <w:rPr>
          <w:rFonts w:hint="eastAsia" w:ascii="仿宋_GB2312" w:cs="仿宋_GB2312"/>
          <w:color w:val="000000"/>
        </w:rPr>
        <w:t>联系人：戴狄狄</w:t>
      </w:r>
    </w:p>
    <w:p>
      <w:pPr>
        <w:ind w:firstLine="624" w:firstLineChars="200"/>
        <w:rPr>
          <w:rFonts w:ascii="仿宋_GB2312"/>
          <w:color w:val="000000"/>
        </w:rPr>
      </w:pPr>
      <w:r>
        <w:rPr>
          <w:rFonts w:hint="eastAsia" w:ascii="仿宋_GB2312" w:cs="仿宋_GB2312"/>
          <w:color w:val="000000"/>
        </w:rPr>
        <w:t>电</w:t>
      </w:r>
      <w:r>
        <w:rPr>
          <w:rFonts w:ascii="仿宋_GB2312" w:cs="仿宋_GB2312"/>
          <w:color w:val="000000"/>
        </w:rPr>
        <w:t xml:space="preserve">  </w:t>
      </w:r>
      <w:r>
        <w:rPr>
          <w:rFonts w:hint="eastAsia" w:ascii="仿宋_GB2312" w:cs="仿宋_GB2312"/>
          <w:color w:val="000000"/>
        </w:rPr>
        <w:t>话：</w:t>
      </w:r>
      <w:r>
        <w:rPr>
          <w:rFonts w:ascii="仿宋_GB2312" w:cs="仿宋_GB2312"/>
          <w:color w:val="000000"/>
        </w:rPr>
        <w:t>0574</w:t>
      </w:r>
      <w:r>
        <w:rPr>
          <w:rFonts w:ascii="仿宋_GB2312"/>
          <w:color w:val="000000"/>
        </w:rPr>
        <w:t>–</w:t>
      </w:r>
      <w:r>
        <w:rPr>
          <w:rFonts w:ascii="仿宋_GB2312" w:cs="仿宋_GB2312"/>
          <w:color w:val="000000"/>
        </w:rPr>
        <w:t>65578706</w:t>
      </w:r>
    </w:p>
    <w:p>
      <w:pPr>
        <w:ind w:firstLine="624" w:firstLineChars="200"/>
        <w:rPr>
          <w:rFonts w:ascii="仿宋_GB2312"/>
          <w:color w:val="000000"/>
        </w:rPr>
      </w:pPr>
      <w:r>
        <w:rPr>
          <w:rFonts w:hint="eastAsia" w:ascii="仿宋_GB2312" w:cs="仿宋_GB2312"/>
          <w:color w:val="000000"/>
        </w:rPr>
        <w:t>地</w:t>
      </w:r>
      <w:r>
        <w:rPr>
          <w:rFonts w:ascii="仿宋_GB2312" w:cs="仿宋_GB2312"/>
          <w:color w:val="000000"/>
        </w:rPr>
        <w:t xml:space="preserve">  </w:t>
      </w:r>
      <w:r>
        <w:rPr>
          <w:rFonts w:hint="eastAsia" w:ascii="仿宋_GB2312" w:cs="仿宋_GB2312"/>
          <w:color w:val="000000"/>
        </w:rPr>
        <w:t>址：宁海县商务局</w:t>
      </w:r>
      <w:r>
        <w:rPr>
          <w:rFonts w:ascii="仿宋_GB2312" w:cs="仿宋_GB2312"/>
          <w:color w:val="000000"/>
        </w:rPr>
        <w:t>404</w:t>
      </w:r>
      <w:r>
        <w:rPr>
          <w:rFonts w:hint="eastAsia" w:ascii="仿宋_GB2312" w:cs="仿宋_GB2312"/>
          <w:color w:val="000000"/>
        </w:rPr>
        <w:t>室（桃源南路</w:t>
      </w:r>
      <w:r>
        <w:rPr>
          <w:rFonts w:ascii="仿宋_GB2312" w:cs="仿宋_GB2312"/>
          <w:color w:val="000000"/>
        </w:rPr>
        <w:t>47</w:t>
      </w:r>
      <w:r>
        <w:rPr>
          <w:rFonts w:hint="eastAsia" w:ascii="仿宋_GB2312" w:cs="仿宋_GB2312"/>
          <w:color w:val="000000"/>
        </w:rPr>
        <w:t>号）</w:t>
      </w:r>
    </w:p>
    <w:p>
      <w:pPr>
        <w:ind w:firstLine="624" w:firstLineChars="200"/>
        <w:rPr>
          <w:rFonts w:ascii="仿宋_GB2312"/>
          <w:color w:val="000000"/>
        </w:rPr>
      </w:pPr>
      <w:r>
        <w:rPr>
          <w:rFonts w:hint="eastAsia" w:ascii="仿宋_GB2312" w:cs="仿宋_GB2312"/>
          <w:color w:val="000000"/>
        </w:rPr>
        <w:t>特此通知。</w:t>
      </w:r>
    </w:p>
    <w:p>
      <w:pPr>
        <w:ind w:firstLine="624" w:firstLineChars="200"/>
        <w:rPr>
          <w:rFonts w:ascii="仿宋_GB2312"/>
          <w:color w:val="000000"/>
        </w:rPr>
      </w:pPr>
    </w:p>
    <w:p>
      <w:pPr>
        <w:ind w:firstLine="624" w:firstLineChars="200"/>
        <w:rPr>
          <w:rFonts w:ascii="仿宋_GB2312"/>
          <w:color w:val="000000"/>
        </w:rPr>
      </w:pPr>
      <w:r>
        <w:rPr>
          <w:rFonts w:hint="eastAsia" w:ascii="仿宋_GB2312" w:cs="仿宋_GB2312"/>
          <w:color w:val="000000"/>
        </w:rPr>
        <w:t>附件：</w:t>
      </w:r>
      <w:r>
        <w:rPr>
          <w:rFonts w:ascii="仿宋_GB2312" w:cs="仿宋_GB2312"/>
          <w:color w:val="000000"/>
        </w:rPr>
        <w:t>1.</w:t>
      </w:r>
      <w:r>
        <w:rPr>
          <w:rFonts w:hint="eastAsia" w:ascii="仿宋_GB2312" w:cs="仿宋_GB2312"/>
          <w:color w:val="000000"/>
        </w:rPr>
        <w:t>“浙江出口名牌”申报资格条件和评分指标</w:t>
      </w:r>
    </w:p>
    <w:p>
      <w:pPr>
        <w:ind w:firstLine="1560" w:firstLineChars="500"/>
        <w:rPr>
          <w:rFonts w:ascii="仿宋_GB2312"/>
          <w:color w:val="000000"/>
        </w:rPr>
      </w:pPr>
      <w:r>
        <w:rPr>
          <w:rFonts w:ascii="仿宋_GB2312" w:cs="仿宋_GB2312"/>
          <w:color w:val="000000"/>
        </w:rPr>
        <w:t>2.</w:t>
      </w:r>
      <w:r>
        <w:rPr>
          <w:rFonts w:hint="eastAsia" w:ascii="仿宋_GB2312" w:cs="仿宋_GB2312"/>
          <w:color w:val="000000"/>
        </w:rPr>
        <w:t>“宁波出口名牌”申报资格条件和评分指标</w:t>
      </w:r>
    </w:p>
    <w:p>
      <w:pPr>
        <w:ind w:firstLine="1560" w:firstLineChars="500"/>
        <w:rPr>
          <w:rFonts w:ascii="仿宋_GB2312"/>
          <w:color w:val="000000"/>
        </w:rPr>
      </w:pPr>
      <w:r>
        <w:rPr>
          <w:rFonts w:ascii="仿宋_GB2312" w:cs="仿宋_GB2312"/>
          <w:color w:val="000000"/>
        </w:rPr>
        <w:t>3.</w:t>
      </w:r>
      <w:r>
        <w:rPr>
          <w:rFonts w:hint="eastAsia" w:ascii="仿宋_GB2312" w:cs="仿宋_GB2312"/>
          <w:color w:val="000000"/>
        </w:rPr>
        <w:t>“浙江出口名牌”企业申报材料</w:t>
      </w:r>
    </w:p>
    <w:p>
      <w:pPr>
        <w:ind w:firstLine="1560" w:firstLineChars="500"/>
        <w:rPr>
          <w:rFonts w:ascii="仿宋_GB2312"/>
          <w:color w:val="000000"/>
        </w:rPr>
      </w:pPr>
      <w:r>
        <w:rPr>
          <w:rFonts w:ascii="仿宋_GB2312" w:cs="仿宋_GB2312"/>
          <w:color w:val="000000"/>
        </w:rPr>
        <w:t>4.</w:t>
      </w:r>
      <w:r>
        <w:rPr>
          <w:rFonts w:hint="eastAsia" w:ascii="仿宋_GB2312" w:cs="仿宋_GB2312"/>
          <w:color w:val="000000"/>
        </w:rPr>
        <w:t>“宁波出口名牌”企业申报材料</w:t>
      </w:r>
    </w:p>
    <w:p>
      <w:pPr>
        <w:ind w:firstLine="1560" w:firstLineChars="500"/>
        <w:rPr>
          <w:rFonts w:ascii="仿宋_GB2312"/>
          <w:color w:val="000000"/>
        </w:rPr>
      </w:pPr>
      <w:r>
        <w:rPr>
          <w:rFonts w:ascii="仿宋_GB2312" w:cs="仿宋_GB2312"/>
          <w:color w:val="000000"/>
        </w:rPr>
        <w:t>5.</w:t>
      </w:r>
      <w:r>
        <w:rPr>
          <w:rFonts w:hint="eastAsia" w:ascii="仿宋_GB2312" w:cs="仿宋_GB2312"/>
          <w:color w:val="000000"/>
        </w:rPr>
        <w:t>“</w:t>
      </w:r>
      <w:r>
        <w:rPr>
          <w:rFonts w:ascii="仿宋_GB2312" w:cs="仿宋_GB2312"/>
          <w:color w:val="000000"/>
          <w:u w:val="single"/>
        </w:rPr>
        <w:t xml:space="preserve">    </w:t>
      </w:r>
      <w:r>
        <w:rPr>
          <w:rFonts w:hint="eastAsia" w:ascii="仿宋_GB2312" w:cs="仿宋_GB2312"/>
          <w:color w:val="000000"/>
        </w:rPr>
        <w:t>出口名牌”申报表</w:t>
      </w:r>
    </w:p>
    <w:p>
      <w:pPr>
        <w:ind w:firstLine="1557" w:firstLineChars="499"/>
        <w:rPr>
          <w:rFonts w:ascii="仿宋_GB2312"/>
          <w:color w:val="000000"/>
        </w:rPr>
      </w:pPr>
      <w:r>
        <w:rPr>
          <w:rFonts w:ascii="仿宋_GB2312" w:cs="仿宋_GB2312"/>
          <w:color w:val="000000"/>
        </w:rPr>
        <w:t xml:space="preserve">6. </w:t>
      </w:r>
      <w:r>
        <w:rPr>
          <w:rFonts w:hint="eastAsia" w:ascii="仿宋_GB2312" w:cs="仿宋_GB2312"/>
          <w:color w:val="000000"/>
        </w:rPr>
        <w:t>申报品牌项下商品上年度出口情况统计表</w:t>
      </w:r>
    </w:p>
    <w:p>
      <w:pPr>
        <w:ind w:firstLine="1557" w:firstLineChars="499"/>
        <w:rPr>
          <w:rFonts w:ascii="仿宋_GB2312" w:cs="仿宋_GB2312"/>
          <w:color w:val="000000"/>
        </w:rPr>
      </w:pPr>
      <w:r>
        <w:rPr>
          <w:rFonts w:ascii="仿宋_GB2312" w:cs="仿宋_GB2312"/>
          <w:color w:val="000000"/>
        </w:rPr>
        <w:t>7. 2014</w:t>
      </w:r>
      <w:r>
        <w:rPr>
          <w:rFonts w:hint="eastAsia" w:ascii="仿宋_GB2312" w:cs="仿宋_GB2312"/>
          <w:color w:val="000000"/>
        </w:rPr>
        <w:t>年度宁海县获批“浙江出口名牌”企业名单</w:t>
      </w:r>
    </w:p>
    <w:p>
      <w:pPr>
        <w:ind w:firstLine="1560" w:firstLineChars="500"/>
        <w:rPr>
          <w:rFonts w:ascii="仿宋_GB2312"/>
          <w:color w:val="000000"/>
        </w:rPr>
      </w:pPr>
      <w:r>
        <w:rPr>
          <w:rFonts w:ascii="仿宋_GB2312" w:cs="仿宋_GB2312"/>
          <w:color w:val="000000"/>
        </w:rPr>
        <w:t>8. 2014</w:t>
      </w:r>
      <w:r>
        <w:rPr>
          <w:rFonts w:hint="eastAsia" w:ascii="仿宋_GB2312" w:cs="仿宋_GB2312"/>
          <w:color w:val="000000"/>
        </w:rPr>
        <w:t>年度宁海县获批“宁波出口名牌”企业名单</w:t>
      </w:r>
    </w:p>
    <w:p>
      <w:pPr>
        <w:ind w:firstLine="640"/>
      </w:pPr>
    </w:p>
    <w:p>
      <w:pPr>
        <w:ind w:firstLine="640"/>
      </w:pPr>
    </w:p>
    <w:p>
      <w:pPr>
        <w:ind w:firstLine="640"/>
      </w:pPr>
    </w:p>
    <w:p>
      <w:pPr>
        <w:ind w:firstLine="5819" w:firstLineChars="1865"/>
      </w:pPr>
      <w:r>
        <w:rPr>
          <w:rFonts w:hint="eastAsia" w:cs="仿宋_GB2312"/>
        </w:rPr>
        <w:t>宁海县商务局</w:t>
      </w:r>
    </w:p>
    <w:p>
      <w:pPr>
        <w:ind w:firstLine="5669" w:firstLineChars="1817"/>
      </w:pPr>
      <w:r>
        <w:t>2017</w:t>
      </w:r>
      <w:r>
        <w:rPr>
          <w:rFonts w:hint="eastAsia" w:cs="仿宋_GB2312"/>
        </w:rPr>
        <w:t>年</w:t>
      </w:r>
      <w:r>
        <w:t>8</w:t>
      </w:r>
      <w:r>
        <w:rPr>
          <w:rFonts w:hint="eastAsia" w:cs="仿宋_GB2312"/>
        </w:rPr>
        <w:t>月</w:t>
      </w:r>
      <w:r>
        <w:t>31</w:t>
      </w:r>
      <w:r>
        <w:rPr>
          <w:rFonts w:hint="eastAsia" w:cs="仿宋_GB2312"/>
        </w:rPr>
        <w:t>日</w:t>
      </w: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
    <w:p>
      <w:pPr>
        <w:ind w:right="-57"/>
        <w:rPr>
          <w:rFonts w:ascii="黑体" w:eastAsia="黑体"/>
          <w:color w:val="000000"/>
        </w:rPr>
      </w:pPr>
      <w:r>
        <w:rPr>
          <w:rFonts w:hint="eastAsia" w:ascii="黑体" w:eastAsia="黑体" w:cs="黑体"/>
          <w:color w:val="000000"/>
        </w:rPr>
        <w:t>附件</w:t>
      </w:r>
      <w:r>
        <w:rPr>
          <w:rFonts w:ascii="黑体" w:eastAsia="黑体" w:cs="黑体"/>
          <w:color w:val="000000"/>
        </w:rPr>
        <w:t>1</w:t>
      </w:r>
    </w:p>
    <w:p>
      <w:pPr>
        <w:jc w:val="center"/>
        <w:rPr>
          <w:rFonts w:ascii="宋体" w:hAnsi="宋体" w:eastAsia="宋体"/>
          <w:b/>
          <w:color w:val="000000"/>
          <w:sz w:val="44"/>
          <w:szCs w:val="44"/>
        </w:rPr>
      </w:pPr>
      <w:r>
        <w:rPr>
          <w:rFonts w:hint="eastAsia" w:ascii="宋体" w:hAnsi="宋体" w:eastAsia="宋体" w:cs="创艺简标宋"/>
          <w:b/>
          <w:color w:val="000000"/>
          <w:sz w:val="44"/>
          <w:szCs w:val="44"/>
        </w:rPr>
        <w:t>“浙江出口名牌”申报资格条件和评分指标</w:t>
      </w:r>
    </w:p>
    <w:p>
      <w:pPr>
        <w:jc w:val="center"/>
        <w:rPr>
          <w:rFonts w:ascii="宋体" w:eastAsia="宋体"/>
          <w:b/>
          <w:bCs/>
          <w:color w:val="000000"/>
          <w:sz w:val="36"/>
          <w:szCs w:val="36"/>
        </w:rPr>
      </w:pPr>
    </w:p>
    <w:p>
      <w:pPr>
        <w:autoSpaceDE w:val="0"/>
        <w:autoSpaceDN w:val="0"/>
        <w:ind w:firstLine="624" w:firstLineChars="200"/>
        <w:rPr>
          <w:rFonts w:ascii="黑体" w:hAnsi="黑体" w:eastAsia="黑体"/>
          <w:color w:val="000000"/>
          <w:kern w:val="0"/>
        </w:rPr>
      </w:pPr>
      <w:r>
        <w:rPr>
          <w:rFonts w:hint="eastAsia" w:ascii="黑体" w:hAnsi="黑体" w:eastAsia="黑体" w:cs="黑体"/>
          <w:color w:val="000000"/>
          <w:kern w:val="0"/>
        </w:rPr>
        <w:t>一、资格条件</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（一）企业在浙江省内依法注册并具有法人资格，连续三年以上有出口业绩。</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（二）经营状况良好，净资产为正。</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kern w:val="0"/>
        </w:rPr>
        <w:t>（三）企业上年度出口额不低于</w:t>
      </w:r>
      <w:r>
        <w:rPr>
          <w:rFonts w:ascii="仿宋" w:hAnsi="仿宋" w:eastAsia="仿宋"/>
          <w:color w:val="000000"/>
          <w:kern w:val="0"/>
        </w:rPr>
        <w:t>1500</w:t>
      </w:r>
      <w:r>
        <w:rPr>
          <w:rFonts w:hint="eastAsia" w:ascii="仿宋" w:hAnsi="仿宋" w:eastAsia="仿宋" w:cs="仿宋_GB2312"/>
          <w:color w:val="000000"/>
          <w:kern w:val="0"/>
        </w:rPr>
        <w:t>万美元，农副产品企业出口额不低于</w:t>
      </w:r>
      <w:r>
        <w:rPr>
          <w:rFonts w:ascii="仿宋" w:hAnsi="仿宋" w:eastAsia="仿宋"/>
          <w:color w:val="000000"/>
          <w:kern w:val="0"/>
        </w:rPr>
        <w:t>800</w:t>
      </w:r>
      <w:r>
        <w:rPr>
          <w:rFonts w:hint="eastAsia" w:ascii="仿宋" w:hAnsi="仿宋" w:eastAsia="仿宋" w:cs="仿宋_GB2312"/>
          <w:color w:val="000000"/>
          <w:kern w:val="0"/>
        </w:rPr>
        <w:t>万美元，其中自有品牌出口额占</w:t>
      </w:r>
      <w:r>
        <w:rPr>
          <w:rFonts w:ascii="仿宋" w:hAnsi="仿宋" w:eastAsia="仿宋"/>
          <w:color w:val="000000"/>
          <w:kern w:val="0"/>
        </w:rPr>
        <w:t>20</w:t>
      </w:r>
      <w:r>
        <w:rPr>
          <w:rFonts w:hint="eastAsia" w:ascii="仿宋" w:hAnsi="仿宋" w:eastAsia="仿宋" w:cs="仿宋_GB2312"/>
          <w:color w:val="000000"/>
          <w:kern w:val="0"/>
        </w:rPr>
        <w:t>％以上。</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（四）通过国际通行的质量管理体系认证。</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kern w:val="0"/>
        </w:rPr>
        <w:t>（五）新增和复核企业近三年无严重违法违规行为，没有发生重大质量、环保、劳资、安全、侵犯知识产权、偷税漏税等违规行为或经查证属实的重大投诉和纠纷。</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上年度因违法违规行为未入选的参评企业，</w:t>
      </w:r>
      <w:r>
        <w:rPr>
          <w:rFonts w:ascii="仿宋" w:hAnsi="仿宋" w:eastAsia="仿宋"/>
          <w:color w:val="000000"/>
          <w:kern w:val="0"/>
        </w:rPr>
        <w:t>2016</w:t>
      </w:r>
      <w:r>
        <w:rPr>
          <w:rFonts w:hint="eastAsia" w:ascii="仿宋" w:hAnsi="仿宋" w:eastAsia="仿宋" w:cs="仿宋_GB2312"/>
          <w:color w:val="000000"/>
          <w:kern w:val="0"/>
        </w:rPr>
        <w:t>年</w:t>
      </w:r>
      <w:r>
        <w:rPr>
          <w:rFonts w:ascii="仿宋" w:hAnsi="仿宋" w:eastAsia="仿宋"/>
          <w:color w:val="000000"/>
          <w:kern w:val="0"/>
        </w:rPr>
        <w:t>12</w:t>
      </w:r>
      <w:r>
        <w:rPr>
          <w:rFonts w:hint="eastAsia" w:ascii="仿宋" w:hAnsi="仿宋" w:eastAsia="仿宋" w:cs="仿宋_GB2312"/>
          <w:color w:val="000000"/>
          <w:kern w:val="0"/>
        </w:rPr>
        <w:t>月</w:t>
      </w:r>
      <w:r>
        <w:rPr>
          <w:rFonts w:ascii="仿宋" w:hAnsi="仿宋" w:eastAsia="仿宋"/>
          <w:color w:val="000000"/>
          <w:kern w:val="0"/>
        </w:rPr>
        <w:t>1</w:t>
      </w:r>
      <w:r>
        <w:rPr>
          <w:rFonts w:hint="eastAsia" w:ascii="仿宋" w:hAnsi="仿宋" w:eastAsia="仿宋" w:cs="仿宋_GB2312"/>
          <w:color w:val="000000"/>
          <w:kern w:val="0"/>
        </w:rPr>
        <w:t>日</w:t>
      </w:r>
      <w:r>
        <w:rPr>
          <w:rFonts w:ascii="仿宋" w:hAnsi="仿宋" w:eastAsia="仿宋"/>
          <w:color w:val="000000"/>
          <w:kern w:val="0"/>
        </w:rPr>
        <w:t>-2017</w:t>
      </w:r>
      <w:r>
        <w:rPr>
          <w:rFonts w:hint="eastAsia" w:ascii="仿宋" w:hAnsi="仿宋" w:eastAsia="仿宋" w:cs="仿宋_GB2312"/>
          <w:color w:val="000000"/>
          <w:kern w:val="0"/>
        </w:rPr>
        <w:t>年</w:t>
      </w:r>
      <w:r>
        <w:rPr>
          <w:rFonts w:ascii="仿宋" w:hAnsi="仿宋" w:eastAsia="仿宋"/>
          <w:color w:val="000000"/>
          <w:kern w:val="0"/>
        </w:rPr>
        <w:t>11</w:t>
      </w:r>
      <w:r>
        <w:rPr>
          <w:rFonts w:hint="eastAsia" w:ascii="仿宋" w:hAnsi="仿宋" w:eastAsia="仿宋" w:cs="仿宋_GB2312"/>
          <w:color w:val="000000"/>
          <w:kern w:val="0"/>
        </w:rPr>
        <w:t>月</w:t>
      </w:r>
      <w:r>
        <w:rPr>
          <w:rFonts w:ascii="仿宋" w:hAnsi="仿宋" w:eastAsia="仿宋"/>
          <w:color w:val="000000"/>
          <w:kern w:val="0"/>
        </w:rPr>
        <w:t>30</w:t>
      </w:r>
      <w:r>
        <w:rPr>
          <w:rFonts w:hint="eastAsia" w:ascii="仿宋" w:hAnsi="仿宋" w:eastAsia="仿宋" w:cs="仿宋_GB2312"/>
          <w:color w:val="000000"/>
          <w:kern w:val="0"/>
        </w:rPr>
        <w:t>日期间无严重违法违规行为，没有发生重大质量、环保、劳资、安全、侵犯知识产权、偷税漏税等违规行为或经查证属实的重大投诉和纠纷。</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（六）申报类别商品商标在国内和主要出口国市场均已注册。</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（七）申报类别商品商标在中国关境内注册，注册范围（核定使用商品）涵盖申报类别商品。商标所有人为在浙江省依法注册企业，持有人为中方。</w:t>
      </w:r>
    </w:p>
    <w:p>
      <w:pPr>
        <w:autoSpaceDE w:val="0"/>
        <w:autoSpaceDN w:val="0"/>
        <w:ind w:firstLine="624" w:firstLineChars="200"/>
        <w:rPr>
          <w:rFonts w:ascii="黑体" w:hAnsi="黑体" w:eastAsia="黑体"/>
          <w:b/>
          <w:color w:val="000000"/>
          <w:kern w:val="0"/>
        </w:rPr>
      </w:pPr>
      <w:r>
        <w:rPr>
          <w:rFonts w:hint="eastAsia" w:ascii="黑体" w:hAnsi="黑体" w:eastAsia="黑体" w:cs="黑体"/>
          <w:b/>
          <w:color w:val="000000"/>
          <w:kern w:val="0"/>
        </w:rPr>
        <w:t>二、评审指标及评分标准</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kern w:val="0"/>
        </w:rPr>
        <w:t>对完全符合资格条件的企业，按下列评审指标打分，满分为</w:t>
      </w:r>
      <w:r>
        <w:rPr>
          <w:rFonts w:ascii="仿宋" w:hAnsi="仿宋" w:eastAsia="仿宋" w:cs="仿宋_GB2312"/>
          <w:color w:val="000000"/>
          <w:kern w:val="0"/>
        </w:rPr>
        <w:t>120</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楷体_GB2312"/>
          <w:color w:val="000000"/>
          <w:kern w:val="0"/>
        </w:rPr>
        <w:t>（一）科技创新能力（须在申报类别商品范围内），</w:t>
      </w:r>
      <w:r>
        <w:rPr>
          <w:rFonts w:ascii="仿宋" w:hAnsi="仿宋" w:eastAsia="仿宋" w:cs="楷体_GB2312"/>
          <w:color w:val="000000"/>
          <w:kern w:val="0"/>
        </w:rPr>
        <w:t>30</w:t>
      </w:r>
      <w:r>
        <w:rPr>
          <w:rFonts w:hint="eastAsia" w:ascii="仿宋" w:hAnsi="仿宋" w:eastAsia="仿宋" w:cs="楷体_GB2312"/>
          <w:color w:val="000000"/>
          <w:kern w:val="0"/>
        </w:rPr>
        <w:t>分</w:t>
      </w:r>
    </w:p>
    <w:p>
      <w:pPr>
        <w:autoSpaceDE w:val="0"/>
        <w:autoSpaceDN w:val="0"/>
        <w:ind w:firstLine="624" w:firstLineChars="200"/>
        <w:rPr>
          <w:rFonts w:ascii="仿宋" w:hAnsi="仿宋" w:eastAsia="仿宋"/>
          <w:b/>
          <w:bCs/>
          <w:color w:val="000000"/>
          <w:kern w:val="0"/>
        </w:rPr>
      </w:pPr>
      <w:r>
        <w:rPr>
          <w:rFonts w:ascii="仿宋" w:hAnsi="仿宋" w:eastAsia="仿宋"/>
          <w:color w:val="000000"/>
          <w:kern w:val="0"/>
        </w:rPr>
        <w:t xml:space="preserve">1. </w:t>
      </w:r>
      <w:r>
        <w:rPr>
          <w:rFonts w:hint="eastAsia" w:ascii="仿宋" w:hAnsi="仿宋" w:eastAsia="仿宋" w:cs="仿宋_GB2312"/>
          <w:color w:val="000000"/>
          <w:kern w:val="0"/>
        </w:rPr>
        <w:t>拥有专利（包括发明专利、实用新型专利和外观设计专利）情况。每项发明专利得</w:t>
      </w:r>
      <w:r>
        <w:rPr>
          <w:rFonts w:ascii="仿宋" w:hAnsi="仿宋" w:eastAsia="仿宋"/>
          <w:color w:val="000000"/>
          <w:kern w:val="0"/>
        </w:rPr>
        <w:t>1</w:t>
      </w:r>
      <w:r>
        <w:rPr>
          <w:rFonts w:hint="eastAsia" w:ascii="仿宋" w:hAnsi="仿宋" w:eastAsia="仿宋" w:cs="仿宋_GB2312"/>
          <w:color w:val="000000"/>
          <w:kern w:val="0"/>
        </w:rPr>
        <w:t>分，实用新型或外观设计专利得</w:t>
      </w:r>
      <w:r>
        <w:rPr>
          <w:rFonts w:ascii="仿宋" w:hAnsi="仿宋" w:eastAsia="仿宋"/>
          <w:color w:val="000000"/>
          <w:kern w:val="0"/>
        </w:rPr>
        <w:t>0.5</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2. </w:t>
      </w:r>
      <w:r>
        <w:rPr>
          <w:rFonts w:hint="eastAsia" w:ascii="仿宋" w:hAnsi="仿宋" w:eastAsia="仿宋" w:cs="仿宋_GB2312"/>
          <w:color w:val="000000"/>
          <w:kern w:val="0"/>
        </w:rPr>
        <w:t>每获得一项国家级科技进步奖或高新技术产品得</w:t>
      </w:r>
      <w:r>
        <w:rPr>
          <w:rFonts w:ascii="仿宋" w:hAnsi="仿宋" w:eastAsia="仿宋"/>
          <w:color w:val="000000"/>
          <w:kern w:val="0"/>
        </w:rPr>
        <w:t>4</w:t>
      </w:r>
      <w:r>
        <w:rPr>
          <w:rFonts w:hint="eastAsia" w:ascii="仿宋" w:hAnsi="仿宋" w:eastAsia="仿宋" w:cs="仿宋_GB2312"/>
          <w:color w:val="000000"/>
          <w:kern w:val="0"/>
        </w:rPr>
        <w:t>分，一项省级科技进步奖或高新技术产品得</w:t>
      </w:r>
      <w:r>
        <w:rPr>
          <w:rFonts w:ascii="仿宋" w:hAnsi="仿宋" w:eastAsia="仿宋"/>
          <w:color w:val="000000"/>
          <w:kern w:val="0"/>
        </w:rPr>
        <w:t>2</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3. </w:t>
      </w:r>
      <w:r>
        <w:rPr>
          <w:rFonts w:hint="eastAsia" w:ascii="仿宋" w:hAnsi="仿宋" w:eastAsia="仿宋" w:cs="仿宋_GB2312"/>
          <w:color w:val="000000"/>
          <w:kern w:val="0"/>
        </w:rPr>
        <w:t>获得高新技术企业荣誉得</w:t>
      </w:r>
      <w:r>
        <w:rPr>
          <w:rFonts w:ascii="仿宋" w:hAnsi="仿宋" w:eastAsia="仿宋"/>
          <w:color w:val="000000"/>
          <w:kern w:val="0"/>
        </w:rPr>
        <w:t>5</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4. </w:t>
      </w:r>
      <w:r>
        <w:rPr>
          <w:rFonts w:hint="eastAsia" w:ascii="仿宋" w:hAnsi="仿宋" w:eastAsia="仿宋" w:cs="仿宋_GB2312"/>
          <w:color w:val="000000"/>
          <w:kern w:val="0"/>
        </w:rPr>
        <w:t>每参与一项国际标准制修订得</w:t>
      </w:r>
      <w:r>
        <w:rPr>
          <w:rFonts w:ascii="仿宋" w:hAnsi="仿宋" w:eastAsia="仿宋"/>
          <w:color w:val="000000"/>
          <w:kern w:val="0"/>
        </w:rPr>
        <w:t>5</w:t>
      </w:r>
      <w:r>
        <w:rPr>
          <w:rFonts w:hint="eastAsia" w:ascii="仿宋" w:hAnsi="仿宋" w:eastAsia="仿宋" w:cs="仿宋_GB2312"/>
          <w:color w:val="000000"/>
          <w:kern w:val="0"/>
        </w:rPr>
        <w:t>分，一项国家标准制修订得</w:t>
      </w:r>
      <w:r>
        <w:rPr>
          <w:rFonts w:ascii="仿宋" w:hAnsi="仿宋" w:eastAsia="仿宋"/>
          <w:color w:val="000000"/>
          <w:kern w:val="0"/>
        </w:rPr>
        <w:t>3</w:t>
      </w:r>
      <w:r>
        <w:rPr>
          <w:rFonts w:hint="eastAsia" w:ascii="仿宋" w:hAnsi="仿宋" w:eastAsia="仿宋" w:cs="仿宋_GB2312"/>
          <w:color w:val="000000"/>
          <w:kern w:val="0"/>
        </w:rPr>
        <w:t>分，一项行业标准制修订得</w:t>
      </w:r>
      <w:r>
        <w:rPr>
          <w:rFonts w:ascii="仿宋" w:hAnsi="仿宋" w:eastAsia="仿宋"/>
          <w:color w:val="000000"/>
          <w:kern w:val="0"/>
        </w:rPr>
        <w:t>1</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kern w:val="0"/>
        </w:rPr>
        <w:t>各项得分可以累计，最多不超过</w:t>
      </w:r>
      <w:r>
        <w:rPr>
          <w:rFonts w:ascii="仿宋" w:hAnsi="仿宋" w:eastAsia="仿宋"/>
          <w:color w:val="000000"/>
          <w:kern w:val="0"/>
        </w:rPr>
        <w:t>30</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楷体_GB2312"/>
          <w:color w:val="000000"/>
          <w:kern w:val="0"/>
        </w:rPr>
        <w:t>（二）组织生产的国际标准化程度（覆盖范围包括申报类别商品），</w:t>
      </w:r>
      <w:r>
        <w:rPr>
          <w:rFonts w:ascii="仿宋" w:hAnsi="仿宋" w:eastAsia="仿宋" w:cs="楷体_GB2312"/>
          <w:color w:val="000000"/>
          <w:kern w:val="0"/>
        </w:rPr>
        <w:t>20</w:t>
      </w:r>
      <w:r>
        <w:rPr>
          <w:rFonts w:hint="eastAsia" w:ascii="仿宋" w:hAnsi="仿宋" w:eastAsia="仿宋" w:cs="楷体_GB2312"/>
          <w:color w:val="000000"/>
          <w:kern w:val="0"/>
        </w:rPr>
        <w:t>分</w:t>
      </w:r>
    </w:p>
    <w:p>
      <w:pPr>
        <w:autoSpaceDE w:val="0"/>
        <w:autoSpaceDN w:val="0"/>
        <w:ind w:firstLine="624" w:firstLineChars="200"/>
        <w:rPr>
          <w:rFonts w:ascii="仿宋" w:hAnsi="仿宋" w:eastAsia="仿宋"/>
          <w:b/>
          <w:bCs/>
          <w:color w:val="000000"/>
          <w:kern w:val="0"/>
        </w:rPr>
      </w:pPr>
      <w:r>
        <w:rPr>
          <w:rFonts w:ascii="仿宋" w:hAnsi="仿宋" w:eastAsia="仿宋"/>
          <w:color w:val="000000"/>
          <w:kern w:val="0"/>
        </w:rPr>
        <w:t xml:space="preserve">1. </w:t>
      </w:r>
      <w:r>
        <w:rPr>
          <w:rFonts w:hint="eastAsia" w:ascii="仿宋" w:hAnsi="仿宋" w:eastAsia="仿宋" w:cs="仿宋_GB2312"/>
          <w:color w:val="000000"/>
          <w:kern w:val="0"/>
        </w:rPr>
        <w:t>通过国际通行的质量管理体系认证（</w:t>
      </w:r>
      <w:r>
        <w:rPr>
          <w:rFonts w:ascii="仿宋" w:hAnsi="仿宋" w:eastAsia="仿宋"/>
          <w:color w:val="000000"/>
          <w:kern w:val="0"/>
        </w:rPr>
        <w:t>ISO9000</w:t>
      </w:r>
      <w:r>
        <w:rPr>
          <w:rFonts w:hint="eastAsia" w:ascii="仿宋" w:hAnsi="仿宋" w:eastAsia="仿宋" w:cs="仿宋_GB2312"/>
          <w:color w:val="000000"/>
          <w:kern w:val="0"/>
        </w:rPr>
        <w:t>系列、</w:t>
      </w:r>
      <w:r>
        <w:rPr>
          <w:rFonts w:ascii="仿宋" w:hAnsi="仿宋" w:eastAsia="仿宋"/>
          <w:color w:val="000000"/>
          <w:kern w:val="0"/>
        </w:rPr>
        <w:t>GMP</w:t>
      </w:r>
      <w:r>
        <w:rPr>
          <w:rFonts w:hint="eastAsia" w:ascii="仿宋" w:hAnsi="仿宋" w:eastAsia="仿宋" w:cs="仿宋_GB2312"/>
          <w:color w:val="000000"/>
          <w:kern w:val="0"/>
        </w:rPr>
        <w:t>、</w:t>
      </w:r>
      <w:r>
        <w:rPr>
          <w:rFonts w:ascii="仿宋" w:hAnsi="仿宋" w:eastAsia="仿宋"/>
          <w:color w:val="000000"/>
          <w:kern w:val="0"/>
        </w:rPr>
        <w:t>HACCP</w:t>
      </w:r>
      <w:r>
        <w:rPr>
          <w:rFonts w:hint="eastAsia" w:ascii="仿宋" w:hAnsi="仿宋" w:eastAsia="仿宋" w:cs="仿宋_GB2312"/>
          <w:color w:val="000000"/>
          <w:kern w:val="0"/>
        </w:rPr>
        <w:t>、</w:t>
      </w:r>
      <w:r>
        <w:rPr>
          <w:rFonts w:ascii="仿宋" w:hAnsi="仿宋" w:eastAsia="仿宋"/>
          <w:color w:val="000000"/>
          <w:kern w:val="0"/>
        </w:rPr>
        <w:t>ISO/TS16949</w:t>
      </w:r>
      <w:r>
        <w:rPr>
          <w:rFonts w:hint="eastAsia" w:ascii="仿宋" w:hAnsi="仿宋" w:eastAsia="仿宋" w:cs="仿宋_GB2312"/>
          <w:color w:val="000000"/>
          <w:kern w:val="0"/>
        </w:rPr>
        <w:t>等）情况。</w:t>
      </w:r>
    </w:p>
    <w:p>
      <w:pPr>
        <w:autoSpaceDE w:val="0"/>
        <w:autoSpaceDN w:val="0"/>
        <w:ind w:firstLine="624" w:firstLineChars="200"/>
        <w:rPr>
          <w:rFonts w:ascii="仿宋" w:hAnsi="仿宋" w:eastAsia="仿宋"/>
          <w:b/>
          <w:bCs/>
          <w:color w:val="000000"/>
          <w:kern w:val="0"/>
        </w:rPr>
      </w:pPr>
      <w:r>
        <w:rPr>
          <w:rFonts w:ascii="仿宋" w:hAnsi="仿宋" w:eastAsia="仿宋"/>
          <w:color w:val="000000"/>
          <w:kern w:val="0"/>
        </w:rPr>
        <w:t xml:space="preserve">2. </w:t>
      </w:r>
      <w:r>
        <w:rPr>
          <w:rFonts w:hint="eastAsia" w:ascii="仿宋" w:hAnsi="仿宋" w:eastAsia="仿宋" w:cs="仿宋_GB2312"/>
          <w:color w:val="000000"/>
          <w:kern w:val="0"/>
        </w:rPr>
        <w:t>通过国际通行的环境管理体系（</w:t>
      </w:r>
      <w:r>
        <w:rPr>
          <w:rFonts w:ascii="仿宋" w:hAnsi="仿宋" w:eastAsia="仿宋"/>
          <w:color w:val="000000"/>
          <w:kern w:val="0"/>
        </w:rPr>
        <w:t>ISO14000</w:t>
      </w:r>
      <w:r>
        <w:rPr>
          <w:rFonts w:hint="eastAsia" w:ascii="仿宋" w:hAnsi="仿宋" w:eastAsia="仿宋" w:cs="仿宋_GB2312"/>
          <w:color w:val="000000"/>
          <w:kern w:val="0"/>
        </w:rPr>
        <w:t>系列等）认证情况。</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3. </w:t>
      </w:r>
      <w:r>
        <w:rPr>
          <w:rFonts w:hint="eastAsia" w:ascii="仿宋" w:hAnsi="仿宋" w:eastAsia="仿宋" w:cs="仿宋_GB2312"/>
          <w:color w:val="000000"/>
          <w:kern w:val="0"/>
        </w:rPr>
        <w:t>通过国际通行的职业健康安全管理体系（</w:t>
      </w:r>
      <w:r>
        <w:rPr>
          <w:rFonts w:ascii="仿宋" w:hAnsi="仿宋" w:eastAsia="仿宋"/>
          <w:color w:val="000000"/>
          <w:kern w:val="0"/>
        </w:rPr>
        <w:t>OHSAS18000</w:t>
      </w:r>
      <w:r>
        <w:rPr>
          <w:rFonts w:hint="eastAsia" w:ascii="仿宋" w:hAnsi="仿宋" w:eastAsia="仿宋" w:cs="仿宋_GB2312"/>
          <w:color w:val="000000"/>
          <w:kern w:val="0"/>
        </w:rPr>
        <w:t>系列、</w:t>
      </w:r>
      <w:r>
        <w:rPr>
          <w:rFonts w:ascii="仿宋" w:hAnsi="仿宋" w:eastAsia="仿宋"/>
          <w:color w:val="000000"/>
          <w:kern w:val="0"/>
        </w:rPr>
        <w:t>SA8000</w:t>
      </w:r>
      <w:r>
        <w:rPr>
          <w:rFonts w:hint="eastAsia" w:ascii="仿宋" w:hAnsi="仿宋" w:eastAsia="仿宋" w:cs="仿宋_GB2312"/>
          <w:color w:val="000000"/>
          <w:kern w:val="0"/>
        </w:rPr>
        <w:t>等）认证情况。</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通过以上其中一类认证的得</w:t>
      </w:r>
      <w:r>
        <w:rPr>
          <w:rFonts w:ascii="仿宋" w:hAnsi="仿宋" w:eastAsia="仿宋"/>
          <w:color w:val="000000"/>
          <w:kern w:val="0"/>
        </w:rPr>
        <w:t>8</w:t>
      </w:r>
      <w:r>
        <w:rPr>
          <w:rFonts w:hint="eastAsia" w:ascii="仿宋" w:hAnsi="仿宋" w:eastAsia="仿宋" w:cs="仿宋_GB2312"/>
          <w:color w:val="000000"/>
          <w:kern w:val="0"/>
        </w:rPr>
        <w:t>分（共三类，每一类中通过任何一项认证均可得分），累计不超过</w:t>
      </w:r>
      <w:r>
        <w:rPr>
          <w:rFonts w:ascii="仿宋" w:hAnsi="仿宋" w:eastAsia="仿宋"/>
          <w:color w:val="000000"/>
          <w:kern w:val="0"/>
        </w:rPr>
        <w:t>20</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楷体_GB2312"/>
          <w:color w:val="000000"/>
          <w:kern w:val="0"/>
        </w:rPr>
        <w:t>（三）市场销售和消费者认可，</w:t>
      </w:r>
      <w:r>
        <w:rPr>
          <w:rFonts w:ascii="仿宋" w:hAnsi="仿宋" w:eastAsia="仿宋" w:cs="楷体_GB2312"/>
          <w:color w:val="000000"/>
          <w:kern w:val="0"/>
        </w:rPr>
        <w:t>35</w:t>
      </w:r>
      <w:r>
        <w:rPr>
          <w:rFonts w:hint="eastAsia" w:ascii="仿宋" w:hAnsi="仿宋" w:eastAsia="仿宋" w:cs="楷体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1. </w:t>
      </w:r>
      <w:r>
        <w:rPr>
          <w:rFonts w:hint="eastAsia" w:ascii="仿宋" w:hAnsi="仿宋" w:eastAsia="仿宋" w:cs="仿宋_GB2312"/>
          <w:color w:val="000000"/>
          <w:kern w:val="0"/>
        </w:rPr>
        <w:t>上年度出口额、自有品牌出口比重以及企业出口额在全国同行业中的排名情况。企业上年度出口额达到规定标准得</w:t>
      </w:r>
      <w:r>
        <w:rPr>
          <w:rFonts w:ascii="仿宋" w:hAnsi="仿宋" w:eastAsia="仿宋"/>
          <w:color w:val="000000"/>
          <w:kern w:val="0"/>
        </w:rPr>
        <w:t>10</w:t>
      </w:r>
      <w:r>
        <w:rPr>
          <w:rFonts w:hint="eastAsia" w:ascii="仿宋" w:hAnsi="仿宋" w:eastAsia="仿宋" w:cs="仿宋_GB2312"/>
          <w:color w:val="000000"/>
          <w:kern w:val="0"/>
        </w:rPr>
        <w:t>分，每增加</w:t>
      </w:r>
      <w:r>
        <w:rPr>
          <w:rFonts w:ascii="仿宋" w:hAnsi="仿宋" w:eastAsia="仿宋"/>
          <w:color w:val="000000"/>
          <w:kern w:val="0"/>
        </w:rPr>
        <w:t>500</w:t>
      </w:r>
      <w:r>
        <w:rPr>
          <w:rFonts w:hint="eastAsia" w:ascii="仿宋" w:hAnsi="仿宋" w:eastAsia="仿宋" w:cs="仿宋_GB2312"/>
          <w:color w:val="000000"/>
          <w:kern w:val="0"/>
        </w:rPr>
        <w:t>万美元加</w:t>
      </w:r>
      <w:r>
        <w:rPr>
          <w:rFonts w:ascii="仿宋" w:hAnsi="仿宋" w:eastAsia="仿宋"/>
          <w:color w:val="000000"/>
          <w:kern w:val="0"/>
        </w:rPr>
        <w:t>1</w:t>
      </w:r>
      <w:r>
        <w:rPr>
          <w:rFonts w:hint="eastAsia" w:ascii="仿宋" w:hAnsi="仿宋" w:eastAsia="仿宋" w:cs="仿宋_GB2312"/>
          <w:color w:val="000000"/>
          <w:kern w:val="0"/>
        </w:rPr>
        <w:t>分；申报类别商品上年度出口额在全国同行业中排名第一加</w:t>
      </w:r>
      <w:r>
        <w:rPr>
          <w:rFonts w:ascii="仿宋" w:hAnsi="仿宋" w:eastAsia="仿宋"/>
          <w:color w:val="000000"/>
          <w:kern w:val="0"/>
        </w:rPr>
        <w:t>5</w:t>
      </w:r>
      <w:r>
        <w:rPr>
          <w:rFonts w:hint="eastAsia" w:ascii="仿宋" w:hAnsi="仿宋" w:eastAsia="仿宋" w:cs="仿宋_GB2312"/>
          <w:color w:val="000000"/>
          <w:kern w:val="0"/>
        </w:rPr>
        <w:t>分，第二加</w:t>
      </w:r>
      <w:r>
        <w:rPr>
          <w:rFonts w:ascii="仿宋" w:hAnsi="仿宋" w:eastAsia="仿宋"/>
          <w:color w:val="000000"/>
          <w:kern w:val="0"/>
        </w:rPr>
        <w:t>4</w:t>
      </w:r>
      <w:r>
        <w:rPr>
          <w:rFonts w:hint="eastAsia" w:ascii="仿宋" w:hAnsi="仿宋" w:eastAsia="仿宋" w:cs="仿宋_GB2312"/>
          <w:color w:val="000000"/>
          <w:kern w:val="0"/>
        </w:rPr>
        <w:t>分，第三加</w:t>
      </w:r>
      <w:r>
        <w:rPr>
          <w:rFonts w:ascii="仿宋" w:hAnsi="仿宋" w:eastAsia="仿宋"/>
          <w:color w:val="000000"/>
          <w:kern w:val="0"/>
        </w:rPr>
        <w:t>3</w:t>
      </w:r>
      <w:r>
        <w:rPr>
          <w:rFonts w:hint="eastAsia" w:ascii="仿宋" w:hAnsi="仿宋" w:eastAsia="仿宋" w:cs="仿宋_GB2312"/>
          <w:color w:val="000000"/>
          <w:kern w:val="0"/>
        </w:rPr>
        <w:t>分，第四加</w:t>
      </w:r>
      <w:r>
        <w:rPr>
          <w:rFonts w:ascii="仿宋" w:hAnsi="仿宋" w:eastAsia="仿宋"/>
          <w:color w:val="000000"/>
          <w:kern w:val="0"/>
        </w:rPr>
        <w:t>2</w:t>
      </w:r>
      <w:r>
        <w:rPr>
          <w:rFonts w:hint="eastAsia" w:ascii="仿宋" w:hAnsi="仿宋" w:eastAsia="仿宋" w:cs="仿宋_GB2312"/>
          <w:color w:val="000000"/>
          <w:kern w:val="0"/>
        </w:rPr>
        <w:t>分，第五加</w:t>
      </w:r>
      <w:r>
        <w:rPr>
          <w:rFonts w:ascii="仿宋" w:hAnsi="仿宋" w:eastAsia="仿宋"/>
          <w:color w:val="000000"/>
          <w:kern w:val="0"/>
        </w:rPr>
        <w:t>1</w:t>
      </w:r>
      <w:r>
        <w:rPr>
          <w:rFonts w:hint="eastAsia" w:ascii="仿宋" w:hAnsi="仿宋" w:eastAsia="仿宋" w:cs="仿宋_GB2312"/>
          <w:color w:val="000000"/>
          <w:kern w:val="0"/>
        </w:rPr>
        <w:t>分；但累计不超过</w:t>
      </w:r>
      <w:r>
        <w:rPr>
          <w:rFonts w:ascii="仿宋" w:hAnsi="仿宋" w:eastAsia="仿宋"/>
          <w:color w:val="000000"/>
          <w:kern w:val="0"/>
        </w:rPr>
        <w:t>25</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b/>
          <w:bCs/>
          <w:color w:val="000000"/>
          <w:kern w:val="0"/>
        </w:rPr>
      </w:pPr>
      <w:r>
        <w:rPr>
          <w:rFonts w:ascii="仿宋" w:hAnsi="仿宋" w:eastAsia="仿宋"/>
          <w:color w:val="000000"/>
          <w:kern w:val="0"/>
        </w:rPr>
        <w:t xml:space="preserve">2. </w:t>
      </w:r>
      <w:r>
        <w:rPr>
          <w:rFonts w:hint="eastAsia" w:ascii="仿宋" w:hAnsi="仿宋" w:eastAsia="仿宋" w:cs="仿宋_GB2312"/>
          <w:color w:val="000000"/>
          <w:kern w:val="0"/>
        </w:rPr>
        <w:t>企业上年度销售额达到</w:t>
      </w:r>
      <w:r>
        <w:rPr>
          <w:rFonts w:ascii="仿宋" w:hAnsi="仿宋" w:eastAsia="仿宋"/>
          <w:color w:val="000000"/>
          <w:kern w:val="0"/>
        </w:rPr>
        <w:t>2</w:t>
      </w:r>
      <w:r>
        <w:rPr>
          <w:rFonts w:hint="eastAsia" w:ascii="仿宋" w:hAnsi="仿宋" w:eastAsia="仿宋" w:cs="仿宋_GB2312"/>
          <w:color w:val="000000"/>
          <w:kern w:val="0"/>
        </w:rPr>
        <w:t>亿元人民币得</w:t>
      </w:r>
      <w:r>
        <w:rPr>
          <w:rFonts w:ascii="仿宋" w:hAnsi="仿宋" w:eastAsia="仿宋"/>
          <w:color w:val="000000"/>
          <w:kern w:val="0"/>
        </w:rPr>
        <w:t>2</w:t>
      </w:r>
      <w:r>
        <w:rPr>
          <w:rFonts w:hint="eastAsia" w:ascii="仿宋" w:hAnsi="仿宋" w:eastAsia="仿宋" w:cs="仿宋_GB2312"/>
          <w:color w:val="000000"/>
          <w:kern w:val="0"/>
        </w:rPr>
        <w:t>分，每增加</w:t>
      </w:r>
      <w:r>
        <w:rPr>
          <w:rFonts w:ascii="仿宋" w:hAnsi="仿宋" w:eastAsia="仿宋"/>
          <w:color w:val="000000"/>
          <w:kern w:val="0"/>
        </w:rPr>
        <w:t>1</w:t>
      </w:r>
      <w:r>
        <w:rPr>
          <w:rFonts w:hint="eastAsia" w:ascii="仿宋" w:hAnsi="仿宋" w:eastAsia="仿宋" w:cs="仿宋_GB2312"/>
          <w:color w:val="000000"/>
          <w:kern w:val="0"/>
        </w:rPr>
        <w:t>亿元加</w:t>
      </w:r>
      <w:r>
        <w:rPr>
          <w:rFonts w:ascii="仿宋" w:hAnsi="仿宋" w:eastAsia="仿宋"/>
          <w:color w:val="000000"/>
          <w:kern w:val="0"/>
        </w:rPr>
        <w:t>1</w:t>
      </w:r>
      <w:r>
        <w:rPr>
          <w:rFonts w:hint="eastAsia" w:ascii="仿宋" w:hAnsi="仿宋" w:eastAsia="仿宋" w:cs="仿宋_GB2312"/>
          <w:color w:val="000000"/>
          <w:kern w:val="0"/>
        </w:rPr>
        <w:t>分，但累计不超过</w:t>
      </w:r>
      <w:r>
        <w:rPr>
          <w:rFonts w:ascii="仿宋" w:hAnsi="仿宋" w:eastAsia="仿宋"/>
          <w:color w:val="000000"/>
          <w:kern w:val="0"/>
        </w:rPr>
        <w:t>10</w:t>
      </w:r>
      <w:r>
        <w:rPr>
          <w:rFonts w:hint="eastAsia" w:ascii="仿宋" w:hAnsi="仿宋" w:eastAsia="仿宋" w:cs="仿宋_GB2312"/>
          <w:color w:val="000000"/>
          <w:kern w:val="0"/>
        </w:rPr>
        <w:t>分。</w:t>
      </w:r>
    </w:p>
    <w:p>
      <w:pPr>
        <w:autoSpaceDE w:val="0"/>
        <w:autoSpaceDN w:val="0"/>
        <w:ind w:firstLine="612" w:firstLineChars="196"/>
        <w:rPr>
          <w:rFonts w:ascii="仿宋" w:hAnsi="仿宋" w:eastAsia="仿宋"/>
          <w:color w:val="000000"/>
          <w:kern w:val="0"/>
        </w:rPr>
      </w:pPr>
      <w:r>
        <w:rPr>
          <w:rFonts w:hint="eastAsia" w:ascii="仿宋" w:hAnsi="仿宋" w:eastAsia="仿宋" w:cs="楷体_GB2312"/>
          <w:color w:val="000000"/>
          <w:kern w:val="0"/>
        </w:rPr>
        <w:t>（四）全球化经营，</w:t>
      </w:r>
      <w:r>
        <w:rPr>
          <w:rFonts w:ascii="仿宋" w:hAnsi="仿宋" w:eastAsia="仿宋" w:cs="楷体_GB2312"/>
          <w:color w:val="000000"/>
          <w:kern w:val="0"/>
        </w:rPr>
        <w:t>15</w:t>
      </w:r>
      <w:r>
        <w:rPr>
          <w:rFonts w:hint="eastAsia" w:ascii="仿宋" w:hAnsi="仿宋" w:eastAsia="仿宋" w:cs="楷体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1. </w:t>
      </w:r>
      <w:r>
        <w:rPr>
          <w:rFonts w:hint="eastAsia" w:ascii="仿宋" w:hAnsi="仿宋" w:eastAsia="仿宋" w:cs="仿宋_GB2312"/>
          <w:color w:val="000000"/>
          <w:kern w:val="0"/>
        </w:rPr>
        <w:t>海外（中国关境外）设立营销机构、研发中心、生产基地、跨境电子商务公共海外仓数量。在海外每设立一个营销机构、公共海外仓得</w:t>
      </w:r>
      <w:r>
        <w:rPr>
          <w:rFonts w:ascii="仿宋" w:hAnsi="仿宋" w:eastAsia="仿宋"/>
          <w:color w:val="000000"/>
          <w:kern w:val="0"/>
        </w:rPr>
        <w:t>2</w:t>
      </w:r>
      <w:r>
        <w:rPr>
          <w:rFonts w:hint="eastAsia" w:ascii="仿宋" w:hAnsi="仿宋" w:eastAsia="仿宋" w:cs="仿宋_GB2312"/>
          <w:color w:val="000000"/>
          <w:kern w:val="0"/>
        </w:rPr>
        <w:t>分，设立研发中心、生产基地得</w:t>
      </w:r>
      <w:r>
        <w:rPr>
          <w:rFonts w:ascii="仿宋" w:hAnsi="仿宋" w:eastAsia="仿宋"/>
          <w:color w:val="000000"/>
          <w:kern w:val="0"/>
        </w:rPr>
        <w:t>3</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ascii="仿宋" w:hAnsi="仿宋" w:eastAsia="仿宋"/>
          <w:color w:val="000000"/>
          <w:kern w:val="0"/>
        </w:rPr>
        <w:t xml:space="preserve">2. </w:t>
      </w:r>
      <w:r>
        <w:rPr>
          <w:rFonts w:hint="eastAsia" w:ascii="仿宋" w:hAnsi="仿宋" w:eastAsia="仿宋" w:cs="仿宋_GB2312"/>
          <w:color w:val="000000"/>
          <w:kern w:val="0"/>
        </w:rPr>
        <w:t>上年度申报品牌在境外通过电视、报刊、杂志大众媒体传播、户外广告、网络传播、赞助活动等形式进行宣传。每通过一种媒介宣传得</w:t>
      </w:r>
      <w:r>
        <w:rPr>
          <w:rFonts w:ascii="仿宋" w:hAnsi="仿宋" w:eastAsia="仿宋"/>
          <w:color w:val="000000"/>
          <w:kern w:val="0"/>
        </w:rPr>
        <w:t>1</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kern w:val="0"/>
        </w:rPr>
        <w:t>各项得分可以累计，最多不超过</w:t>
      </w:r>
      <w:r>
        <w:rPr>
          <w:rFonts w:ascii="仿宋" w:hAnsi="仿宋" w:eastAsia="仿宋"/>
          <w:color w:val="000000"/>
          <w:kern w:val="0"/>
        </w:rPr>
        <w:t>15</w:t>
      </w:r>
      <w:r>
        <w:rPr>
          <w:rFonts w:hint="eastAsia" w:ascii="仿宋" w:hAnsi="仿宋" w:eastAsia="仿宋" w:cs="仿宋_GB2312"/>
          <w:color w:val="000000"/>
          <w:kern w:val="0"/>
        </w:rPr>
        <w:t>分。</w:t>
      </w:r>
    </w:p>
    <w:p>
      <w:pPr>
        <w:autoSpaceDE w:val="0"/>
        <w:autoSpaceDN w:val="0"/>
        <w:ind w:firstLine="624" w:firstLineChars="200"/>
        <w:rPr>
          <w:rFonts w:ascii="仿宋" w:hAnsi="仿宋" w:eastAsia="仿宋"/>
          <w:color w:val="000000"/>
          <w:kern w:val="0"/>
        </w:rPr>
      </w:pPr>
      <w:r>
        <w:rPr>
          <w:rFonts w:hint="eastAsia" w:ascii="仿宋" w:hAnsi="仿宋" w:eastAsia="仿宋" w:cs="楷体_GB2312"/>
          <w:color w:val="000000"/>
          <w:kern w:val="0"/>
        </w:rPr>
        <w:t>（五）知识产权保护，</w:t>
      </w:r>
      <w:r>
        <w:rPr>
          <w:rFonts w:ascii="仿宋" w:hAnsi="仿宋" w:eastAsia="仿宋" w:cs="楷体_GB2312"/>
          <w:color w:val="000000"/>
          <w:kern w:val="0"/>
        </w:rPr>
        <w:t>10</w:t>
      </w:r>
      <w:r>
        <w:rPr>
          <w:rFonts w:hint="eastAsia" w:ascii="仿宋" w:hAnsi="仿宋" w:eastAsia="仿宋" w:cs="楷体_GB2312"/>
          <w:color w:val="000000"/>
          <w:kern w:val="0"/>
        </w:rPr>
        <w:t>分</w:t>
      </w:r>
    </w:p>
    <w:p>
      <w:pPr>
        <w:autoSpaceDE w:val="0"/>
        <w:autoSpaceDN w:val="0"/>
        <w:ind w:firstLine="612" w:firstLineChars="196"/>
        <w:rPr>
          <w:rFonts w:ascii="仿宋" w:hAnsi="仿宋" w:eastAsia="仿宋"/>
          <w:b/>
          <w:bCs/>
          <w:color w:val="000000"/>
          <w:kern w:val="0"/>
        </w:rPr>
      </w:pPr>
      <w:r>
        <w:rPr>
          <w:rFonts w:hint="eastAsia" w:ascii="仿宋" w:hAnsi="仿宋" w:eastAsia="仿宋" w:cs="仿宋_GB2312"/>
          <w:color w:val="000000"/>
          <w:kern w:val="0"/>
        </w:rPr>
        <w:t>海外（中国关境外）商标注册（商标注册范围须涵盖申报类别商品）情况。每在海外一个国家（或地区）注册商标的得</w:t>
      </w:r>
      <w:r>
        <w:rPr>
          <w:rFonts w:ascii="仿宋" w:hAnsi="仿宋" w:eastAsia="仿宋"/>
          <w:color w:val="000000"/>
          <w:kern w:val="0"/>
        </w:rPr>
        <w:t>1</w:t>
      </w:r>
      <w:r>
        <w:rPr>
          <w:rFonts w:hint="eastAsia" w:ascii="仿宋" w:hAnsi="仿宋" w:eastAsia="仿宋" w:cs="仿宋_GB2312"/>
          <w:color w:val="000000"/>
          <w:kern w:val="0"/>
        </w:rPr>
        <w:t>分，累计不超过</w:t>
      </w:r>
      <w:r>
        <w:rPr>
          <w:rFonts w:ascii="仿宋" w:hAnsi="仿宋" w:eastAsia="仿宋"/>
          <w:color w:val="000000"/>
          <w:kern w:val="0"/>
        </w:rPr>
        <w:t>10</w:t>
      </w:r>
      <w:r>
        <w:rPr>
          <w:rFonts w:hint="eastAsia" w:ascii="仿宋" w:hAnsi="仿宋" w:eastAsia="仿宋" w:cs="仿宋_GB2312"/>
          <w:color w:val="000000"/>
          <w:kern w:val="0"/>
        </w:rPr>
        <w:t>分。</w:t>
      </w:r>
    </w:p>
    <w:p>
      <w:pPr>
        <w:autoSpaceDE w:val="0"/>
        <w:autoSpaceDN w:val="0"/>
        <w:ind w:firstLine="612" w:firstLineChars="196"/>
        <w:rPr>
          <w:rFonts w:ascii="仿宋" w:hAnsi="仿宋" w:eastAsia="仿宋"/>
          <w:color w:val="000000"/>
          <w:kern w:val="0"/>
        </w:rPr>
      </w:pPr>
      <w:r>
        <w:rPr>
          <w:rFonts w:hint="eastAsia" w:ascii="仿宋" w:hAnsi="仿宋" w:eastAsia="仿宋" w:cs="楷体_GB2312"/>
          <w:color w:val="000000"/>
          <w:kern w:val="0"/>
        </w:rPr>
        <w:t>（六）社会评价，</w:t>
      </w:r>
      <w:r>
        <w:rPr>
          <w:rFonts w:ascii="仿宋" w:hAnsi="仿宋" w:eastAsia="仿宋" w:cs="楷体_GB2312"/>
          <w:color w:val="000000"/>
          <w:kern w:val="0"/>
        </w:rPr>
        <w:t>10</w:t>
      </w:r>
      <w:r>
        <w:rPr>
          <w:rFonts w:hint="eastAsia" w:ascii="仿宋" w:hAnsi="仿宋" w:eastAsia="仿宋" w:cs="楷体_GB2312"/>
          <w:color w:val="000000"/>
          <w:kern w:val="0"/>
        </w:rPr>
        <w:t>分</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获得省级以上权威机构颁发荣誉称号（有覆盖范围的，应包括申报类别商品）的情况。曾获得</w:t>
      </w:r>
      <w:r>
        <w:rPr>
          <w:rFonts w:hint="eastAsia" w:ascii="仿宋" w:hAnsi="仿宋" w:eastAsia="仿宋"/>
          <w:color w:val="000000"/>
          <w:kern w:val="0"/>
        </w:rPr>
        <w:t>“</w:t>
      </w:r>
      <w:r>
        <w:rPr>
          <w:rFonts w:hint="eastAsia" w:ascii="仿宋" w:hAnsi="仿宋" w:eastAsia="仿宋" w:cs="仿宋_GB2312"/>
          <w:color w:val="000000"/>
          <w:kern w:val="0"/>
        </w:rPr>
        <w:t>中国名牌产品</w:t>
      </w:r>
      <w:r>
        <w:rPr>
          <w:rFonts w:hint="eastAsia" w:ascii="仿宋" w:hAnsi="仿宋" w:eastAsia="仿宋"/>
          <w:color w:val="000000"/>
          <w:kern w:val="0"/>
        </w:rPr>
        <w:t>”</w:t>
      </w:r>
      <w:r>
        <w:rPr>
          <w:rFonts w:hint="eastAsia" w:ascii="仿宋" w:hAnsi="仿宋" w:eastAsia="仿宋" w:cs="仿宋_GB2312"/>
          <w:color w:val="000000"/>
          <w:kern w:val="0"/>
        </w:rPr>
        <w:t>、</w:t>
      </w:r>
      <w:r>
        <w:rPr>
          <w:rFonts w:hint="eastAsia" w:ascii="仿宋" w:hAnsi="仿宋" w:eastAsia="仿宋"/>
          <w:color w:val="000000"/>
          <w:kern w:val="0"/>
        </w:rPr>
        <w:t>“</w:t>
      </w:r>
      <w:r>
        <w:rPr>
          <w:rFonts w:hint="eastAsia" w:ascii="仿宋" w:hAnsi="仿宋" w:eastAsia="仿宋" w:cs="仿宋_GB2312"/>
          <w:color w:val="000000"/>
          <w:kern w:val="0"/>
        </w:rPr>
        <w:t>中国驰名商标</w:t>
      </w:r>
      <w:r>
        <w:rPr>
          <w:rFonts w:hint="eastAsia" w:ascii="仿宋" w:hAnsi="仿宋" w:eastAsia="仿宋"/>
          <w:color w:val="000000"/>
          <w:kern w:val="0"/>
        </w:rPr>
        <w:t>”</w:t>
      </w:r>
      <w:r>
        <w:rPr>
          <w:rFonts w:hint="eastAsia" w:ascii="仿宋" w:hAnsi="仿宋" w:eastAsia="仿宋" w:cs="仿宋_GB2312"/>
          <w:color w:val="000000"/>
          <w:kern w:val="0"/>
        </w:rPr>
        <w:t>、</w:t>
      </w:r>
      <w:r>
        <w:rPr>
          <w:rFonts w:hint="eastAsia" w:ascii="仿宋" w:hAnsi="仿宋" w:eastAsia="仿宋"/>
          <w:color w:val="000000"/>
          <w:kern w:val="0"/>
        </w:rPr>
        <w:t>“</w:t>
      </w:r>
      <w:r>
        <w:rPr>
          <w:rFonts w:hint="eastAsia" w:ascii="仿宋" w:hAnsi="仿宋" w:eastAsia="仿宋" w:cs="仿宋_GB2312"/>
          <w:color w:val="000000"/>
          <w:kern w:val="0"/>
        </w:rPr>
        <w:t>中国名牌农产品</w:t>
      </w:r>
      <w:r>
        <w:rPr>
          <w:rFonts w:hint="eastAsia" w:ascii="仿宋" w:hAnsi="仿宋" w:eastAsia="仿宋"/>
          <w:color w:val="000000"/>
          <w:kern w:val="0"/>
        </w:rPr>
        <w:t>”</w:t>
      </w:r>
      <w:r>
        <w:rPr>
          <w:rFonts w:hint="eastAsia" w:ascii="仿宋" w:hAnsi="仿宋" w:eastAsia="仿宋" w:cs="仿宋_GB2312"/>
          <w:color w:val="000000"/>
          <w:kern w:val="0"/>
        </w:rPr>
        <w:t>中一个荣誉称号得</w:t>
      </w:r>
      <w:r>
        <w:rPr>
          <w:rFonts w:ascii="仿宋" w:hAnsi="仿宋" w:eastAsia="仿宋"/>
          <w:color w:val="000000"/>
          <w:kern w:val="0"/>
        </w:rPr>
        <w:t>5</w:t>
      </w:r>
      <w:r>
        <w:rPr>
          <w:rFonts w:hint="eastAsia" w:ascii="仿宋" w:hAnsi="仿宋" w:eastAsia="仿宋" w:cs="仿宋_GB2312"/>
          <w:color w:val="000000"/>
          <w:kern w:val="0"/>
        </w:rPr>
        <w:t>分，获得一个省级荣誉称号得</w:t>
      </w:r>
      <w:r>
        <w:rPr>
          <w:rFonts w:ascii="仿宋" w:hAnsi="仿宋" w:eastAsia="仿宋"/>
          <w:color w:val="000000"/>
          <w:kern w:val="0"/>
        </w:rPr>
        <w:t>3</w:t>
      </w:r>
      <w:r>
        <w:rPr>
          <w:rFonts w:hint="eastAsia" w:ascii="仿宋" w:hAnsi="仿宋" w:eastAsia="仿宋" w:cs="仿宋_GB2312"/>
          <w:color w:val="000000"/>
          <w:kern w:val="0"/>
        </w:rPr>
        <w:t>分。国家级得分与省级得分不重复计算。各项得分可以累计，但最多不超过</w:t>
      </w:r>
      <w:r>
        <w:rPr>
          <w:rFonts w:ascii="仿宋" w:hAnsi="仿宋" w:eastAsia="仿宋"/>
          <w:color w:val="000000"/>
          <w:kern w:val="0"/>
        </w:rPr>
        <w:t>10</w:t>
      </w:r>
      <w:r>
        <w:rPr>
          <w:rFonts w:hint="eastAsia" w:ascii="仿宋" w:hAnsi="仿宋" w:eastAsia="仿宋" w:cs="仿宋_GB2312"/>
          <w:color w:val="000000"/>
          <w:kern w:val="0"/>
        </w:rPr>
        <w:t>分。</w:t>
      </w:r>
    </w:p>
    <w:p>
      <w:pPr>
        <w:ind w:firstLine="640"/>
        <w:rPr>
          <w:rFonts w:ascii="仿宋" w:hAnsi="仿宋" w:eastAsia="仿宋"/>
          <w:color w:val="000000"/>
          <w:kern w:val="0"/>
        </w:rPr>
      </w:pPr>
      <w:r>
        <w:rPr>
          <w:rFonts w:hint="eastAsia" w:ascii="仿宋" w:hAnsi="仿宋" w:eastAsia="仿宋" w:cs="仿宋_GB2312"/>
          <w:color w:val="000000"/>
          <w:kern w:val="0"/>
        </w:rPr>
        <w:t>类别：名牌产品、驰名商标（著名商标）、名牌农产品、浙江制造、出口名优特产品、“品质浙货”出口领军企业。国家级颁发机构：国家质检总局、国家工商总局、农业部；省级颁发机构：省质监局、省工商局、省农业厅、省商务厅。</w:t>
      </w: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ind w:firstLine="640"/>
        <w:rPr>
          <w:color w:val="000000"/>
          <w:kern w:val="0"/>
        </w:rPr>
      </w:pPr>
    </w:p>
    <w:p>
      <w:pPr>
        <w:rPr>
          <w:color w:val="000000"/>
          <w:kern w:val="0"/>
        </w:rPr>
      </w:pPr>
    </w:p>
    <w:p>
      <w:pPr>
        <w:rPr>
          <w:rFonts w:ascii="黑体" w:eastAsia="黑体"/>
          <w:color w:val="000000"/>
        </w:rPr>
      </w:pPr>
      <w:r>
        <w:rPr>
          <w:rFonts w:hint="eastAsia" w:ascii="黑体" w:eastAsia="黑体" w:cs="黑体"/>
          <w:color w:val="000000"/>
        </w:rPr>
        <w:t>附件</w:t>
      </w:r>
      <w:r>
        <w:rPr>
          <w:rFonts w:ascii="黑体" w:eastAsia="黑体" w:cs="黑体"/>
          <w:color w:val="000000"/>
        </w:rPr>
        <w:t>2</w:t>
      </w:r>
    </w:p>
    <w:p>
      <w:pPr>
        <w:jc w:val="center"/>
        <w:rPr>
          <w:rFonts w:ascii="宋体" w:hAnsi="宋体" w:eastAsia="宋体"/>
          <w:b/>
          <w:color w:val="000000"/>
          <w:sz w:val="44"/>
          <w:szCs w:val="44"/>
        </w:rPr>
      </w:pPr>
      <w:r>
        <w:rPr>
          <w:rFonts w:hint="eastAsia" w:ascii="宋体" w:hAnsi="宋体" w:eastAsia="宋体" w:cs="创艺简标宋"/>
          <w:b/>
          <w:color w:val="000000"/>
          <w:sz w:val="44"/>
          <w:szCs w:val="44"/>
        </w:rPr>
        <w:t>“宁波出口名牌”申报资格条件和评分指标</w:t>
      </w:r>
    </w:p>
    <w:p>
      <w:pPr>
        <w:jc w:val="center"/>
        <w:rPr>
          <w:rFonts w:ascii="宋体"/>
          <w:b/>
          <w:bCs/>
          <w:color w:val="000000"/>
          <w:sz w:val="36"/>
          <w:szCs w:val="36"/>
        </w:rPr>
      </w:pPr>
    </w:p>
    <w:p>
      <w:pPr>
        <w:autoSpaceDE w:val="0"/>
        <w:autoSpaceDN w:val="0"/>
        <w:ind w:firstLine="624" w:firstLineChars="200"/>
        <w:rPr>
          <w:rFonts w:ascii="黑体" w:hAnsi="黑体" w:eastAsia="黑体"/>
          <w:color w:val="000000"/>
        </w:rPr>
      </w:pPr>
      <w:r>
        <w:rPr>
          <w:rFonts w:hint="eastAsia" w:ascii="黑体" w:hAnsi="黑体" w:eastAsia="黑体" w:cs="黑体"/>
          <w:color w:val="000000"/>
        </w:rPr>
        <w:t>一、资格条件</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（一）企业在宁波市内依法注册并具有法人资格，连续三年以上有出口业绩。</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（二）经营状况良好，净资产为正。</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（三）企业上年度出口额不低于</w:t>
      </w:r>
      <w:r>
        <w:rPr>
          <w:rFonts w:ascii="仿宋" w:hAnsi="仿宋" w:eastAsia="仿宋" w:cs="仿宋_GB2312"/>
          <w:color w:val="000000"/>
        </w:rPr>
        <w:t>1000</w:t>
      </w:r>
      <w:r>
        <w:rPr>
          <w:rFonts w:hint="eastAsia" w:ascii="仿宋" w:hAnsi="仿宋" w:eastAsia="仿宋" w:cs="仿宋_GB2312"/>
          <w:color w:val="000000"/>
        </w:rPr>
        <w:t>万美元，农副产品企业出口额不低于</w:t>
      </w:r>
      <w:r>
        <w:rPr>
          <w:rFonts w:ascii="仿宋" w:hAnsi="仿宋" w:eastAsia="仿宋" w:cs="仿宋_GB2312"/>
          <w:color w:val="000000"/>
        </w:rPr>
        <w:t>500</w:t>
      </w:r>
      <w:r>
        <w:rPr>
          <w:rFonts w:hint="eastAsia" w:ascii="仿宋" w:hAnsi="仿宋" w:eastAsia="仿宋" w:cs="仿宋_GB2312"/>
          <w:color w:val="000000"/>
        </w:rPr>
        <w:t>万美元，其中自有品牌出口额占</w:t>
      </w:r>
      <w:r>
        <w:rPr>
          <w:rFonts w:ascii="仿宋" w:hAnsi="仿宋" w:eastAsia="仿宋" w:cs="仿宋_GB2312"/>
          <w:color w:val="000000"/>
        </w:rPr>
        <w:t>20</w:t>
      </w:r>
      <w:r>
        <w:rPr>
          <w:rFonts w:hint="eastAsia" w:ascii="仿宋" w:hAnsi="仿宋" w:eastAsia="仿宋" w:cs="仿宋_GB2312"/>
          <w:color w:val="000000"/>
        </w:rPr>
        <w:t>％以上；或上年度出口额不低于</w:t>
      </w:r>
      <w:r>
        <w:rPr>
          <w:rFonts w:ascii="仿宋" w:hAnsi="仿宋" w:eastAsia="仿宋" w:cs="仿宋_GB2312"/>
          <w:color w:val="000000"/>
        </w:rPr>
        <w:t>500</w:t>
      </w:r>
      <w:r>
        <w:rPr>
          <w:rFonts w:hint="eastAsia" w:ascii="仿宋" w:hAnsi="仿宋" w:eastAsia="仿宋" w:cs="仿宋_GB2312"/>
          <w:color w:val="000000"/>
        </w:rPr>
        <w:t>万美元，农副产品出口额不低于</w:t>
      </w:r>
      <w:r>
        <w:rPr>
          <w:rFonts w:ascii="仿宋" w:hAnsi="仿宋" w:eastAsia="仿宋" w:cs="仿宋_GB2312"/>
          <w:color w:val="000000"/>
        </w:rPr>
        <w:t>250</w:t>
      </w:r>
      <w:r>
        <w:rPr>
          <w:rFonts w:hint="eastAsia" w:ascii="仿宋" w:hAnsi="仿宋" w:eastAsia="仿宋" w:cs="仿宋_GB2312"/>
          <w:color w:val="000000"/>
        </w:rPr>
        <w:t>万美元，其中自有品牌出口额占</w:t>
      </w:r>
      <w:r>
        <w:rPr>
          <w:rFonts w:ascii="仿宋" w:hAnsi="仿宋" w:eastAsia="仿宋" w:cs="仿宋_GB2312"/>
          <w:color w:val="000000"/>
        </w:rPr>
        <w:t>60%</w:t>
      </w:r>
      <w:r>
        <w:rPr>
          <w:rFonts w:hint="eastAsia" w:ascii="仿宋" w:hAnsi="仿宋" w:eastAsia="仿宋" w:cs="仿宋_GB2312"/>
          <w:color w:val="000000"/>
        </w:rPr>
        <w:t>以上。</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（四）通过国际通行的质量管理体系认证。</w:t>
      </w:r>
    </w:p>
    <w:p>
      <w:pPr>
        <w:autoSpaceDE w:val="0"/>
        <w:autoSpaceDN w:val="0"/>
        <w:ind w:firstLine="624" w:firstLineChars="200"/>
        <w:rPr>
          <w:rFonts w:ascii="仿宋" w:hAnsi="仿宋" w:eastAsia="仿宋"/>
          <w:color w:val="000000"/>
          <w:kern w:val="0"/>
        </w:rPr>
      </w:pPr>
      <w:r>
        <w:rPr>
          <w:rFonts w:hint="eastAsia" w:ascii="仿宋" w:hAnsi="仿宋" w:eastAsia="仿宋" w:cs="仿宋_GB2312"/>
          <w:color w:val="000000"/>
        </w:rPr>
        <w:t>（五）</w:t>
      </w:r>
      <w:r>
        <w:rPr>
          <w:rFonts w:hint="eastAsia" w:ascii="仿宋" w:hAnsi="仿宋" w:eastAsia="仿宋" w:cs="仿宋_GB2312"/>
          <w:color w:val="000000"/>
          <w:kern w:val="0"/>
        </w:rPr>
        <w:t>新增和复核企业近三年无严重违法违规行为，没有发生重大质量、环保、劳资、安全、侵犯知识产权、偷税漏税等违规行为或经查证属实的重大投诉和纠纷。</w:t>
      </w:r>
    </w:p>
    <w:p>
      <w:pPr>
        <w:autoSpaceDE w:val="0"/>
        <w:autoSpaceDN w:val="0"/>
        <w:ind w:firstLine="624" w:firstLineChars="200"/>
        <w:rPr>
          <w:rFonts w:ascii="仿宋" w:hAnsi="仿宋" w:eastAsia="仿宋"/>
          <w:b/>
          <w:bCs/>
          <w:color w:val="000000"/>
          <w:kern w:val="0"/>
        </w:rPr>
      </w:pPr>
      <w:r>
        <w:rPr>
          <w:rFonts w:hint="eastAsia" w:ascii="仿宋" w:hAnsi="仿宋" w:eastAsia="仿宋" w:cs="仿宋_GB2312"/>
          <w:color w:val="000000"/>
          <w:kern w:val="0"/>
        </w:rPr>
        <w:t>上年度因违法违规行为未入选的参评企业，</w:t>
      </w:r>
      <w:r>
        <w:rPr>
          <w:rFonts w:ascii="仿宋" w:hAnsi="仿宋" w:eastAsia="仿宋"/>
          <w:color w:val="000000"/>
          <w:kern w:val="0"/>
        </w:rPr>
        <w:t>2016</w:t>
      </w:r>
      <w:r>
        <w:rPr>
          <w:rFonts w:hint="eastAsia" w:ascii="仿宋" w:hAnsi="仿宋" w:eastAsia="仿宋" w:cs="仿宋_GB2312"/>
          <w:color w:val="000000"/>
          <w:kern w:val="0"/>
        </w:rPr>
        <w:t>年</w:t>
      </w:r>
      <w:r>
        <w:rPr>
          <w:rFonts w:ascii="仿宋" w:hAnsi="仿宋" w:eastAsia="仿宋"/>
          <w:color w:val="000000"/>
          <w:kern w:val="0"/>
        </w:rPr>
        <w:t>12</w:t>
      </w:r>
      <w:r>
        <w:rPr>
          <w:rFonts w:hint="eastAsia" w:ascii="仿宋" w:hAnsi="仿宋" w:eastAsia="仿宋" w:cs="仿宋_GB2312"/>
          <w:color w:val="000000"/>
          <w:kern w:val="0"/>
        </w:rPr>
        <w:t>月</w:t>
      </w:r>
      <w:r>
        <w:rPr>
          <w:rFonts w:ascii="仿宋" w:hAnsi="仿宋" w:eastAsia="仿宋"/>
          <w:color w:val="000000"/>
          <w:kern w:val="0"/>
        </w:rPr>
        <w:t>1</w:t>
      </w:r>
      <w:r>
        <w:rPr>
          <w:rFonts w:hint="eastAsia" w:ascii="仿宋" w:hAnsi="仿宋" w:eastAsia="仿宋" w:cs="仿宋_GB2312"/>
          <w:color w:val="000000"/>
          <w:kern w:val="0"/>
        </w:rPr>
        <w:t>日</w:t>
      </w:r>
      <w:r>
        <w:rPr>
          <w:rFonts w:ascii="仿宋" w:hAnsi="仿宋" w:eastAsia="仿宋"/>
          <w:color w:val="000000"/>
          <w:kern w:val="0"/>
        </w:rPr>
        <w:t>-2017</w:t>
      </w:r>
      <w:r>
        <w:rPr>
          <w:rFonts w:hint="eastAsia" w:ascii="仿宋" w:hAnsi="仿宋" w:eastAsia="仿宋" w:cs="仿宋_GB2312"/>
          <w:color w:val="000000"/>
          <w:kern w:val="0"/>
        </w:rPr>
        <w:t>年</w:t>
      </w:r>
      <w:r>
        <w:rPr>
          <w:rFonts w:ascii="仿宋" w:hAnsi="仿宋" w:eastAsia="仿宋"/>
          <w:color w:val="000000"/>
          <w:kern w:val="0"/>
        </w:rPr>
        <w:t>11</w:t>
      </w:r>
      <w:r>
        <w:rPr>
          <w:rFonts w:hint="eastAsia" w:ascii="仿宋" w:hAnsi="仿宋" w:eastAsia="仿宋" w:cs="仿宋_GB2312"/>
          <w:color w:val="000000"/>
          <w:kern w:val="0"/>
        </w:rPr>
        <w:t>月</w:t>
      </w:r>
      <w:r>
        <w:rPr>
          <w:rFonts w:ascii="仿宋" w:hAnsi="仿宋" w:eastAsia="仿宋"/>
          <w:color w:val="000000"/>
          <w:kern w:val="0"/>
        </w:rPr>
        <w:t>30</w:t>
      </w:r>
      <w:r>
        <w:rPr>
          <w:rFonts w:hint="eastAsia" w:ascii="仿宋" w:hAnsi="仿宋" w:eastAsia="仿宋" w:cs="仿宋_GB2312"/>
          <w:color w:val="000000"/>
          <w:kern w:val="0"/>
        </w:rPr>
        <w:t>日期间无严重违法违规行为，没有发生重大质量、环保、劳资、安全、侵犯知识产权、偷税漏税等违规行为或经查证属实的重大投诉和纠纷。</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（六）申报类别商品商标在国内和主要出口国市场均已注册。</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（七）申报类别商品商标在中国关境内注册，注册范围（核定使用商品）涵盖申报类别商品。商标所有人为在宁波市依法注册企业，持有人为中方。</w:t>
      </w:r>
    </w:p>
    <w:p>
      <w:pPr>
        <w:autoSpaceDE w:val="0"/>
        <w:autoSpaceDN w:val="0"/>
        <w:ind w:firstLine="624" w:firstLineChars="200"/>
        <w:rPr>
          <w:rFonts w:ascii="黑体" w:hAnsi="黑体" w:eastAsia="黑体"/>
          <w:color w:val="000000"/>
        </w:rPr>
      </w:pPr>
      <w:r>
        <w:rPr>
          <w:rFonts w:hint="eastAsia" w:ascii="黑体" w:hAnsi="黑体" w:eastAsia="黑体" w:cs="黑体"/>
          <w:color w:val="000000"/>
        </w:rPr>
        <w:t>二、评审指标及评分标准</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对完全符合资格条件的企业，按下列评审指标打分，满分为</w:t>
      </w:r>
      <w:r>
        <w:rPr>
          <w:rFonts w:ascii="仿宋" w:hAnsi="仿宋" w:eastAsia="仿宋" w:cs="仿宋_GB2312"/>
          <w:color w:val="000000"/>
        </w:rPr>
        <w:t>120</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楷体_GB2312"/>
          <w:color w:val="000000"/>
        </w:rPr>
        <w:t>（一）科技创新能力（须在申报类别商品范围内），</w:t>
      </w:r>
      <w:r>
        <w:rPr>
          <w:rFonts w:ascii="仿宋" w:hAnsi="仿宋" w:eastAsia="仿宋" w:cs="楷体_GB2312"/>
          <w:color w:val="000000"/>
        </w:rPr>
        <w:t>30</w:t>
      </w:r>
      <w:r>
        <w:rPr>
          <w:rFonts w:hint="eastAsia" w:ascii="仿宋" w:hAnsi="仿宋" w:eastAsia="仿宋" w:cs="楷体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1. </w:t>
      </w:r>
      <w:r>
        <w:rPr>
          <w:rFonts w:hint="eastAsia" w:ascii="仿宋" w:hAnsi="仿宋" w:eastAsia="仿宋" w:cs="仿宋_GB2312"/>
          <w:color w:val="000000"/>
        </w:rPr>
        <w:t>拥有专利（包括发明专利、实用新型专利和外观设计专利）情况。每项发明专利得</w:t>
      </w:r>
      <w:r>
        <w:rPr>
          <w:rFonts w:ascii="仿宋" w:hAnsi="仿宋" w:eastAsia="仿宋" w:cs="仿宋_GB2312"/>
          <w:color w:val="000000"/>
        </w:rPr>
        <w:t>1</w:t>
      </w:r>
      <w:r>
        <w:rPr>
          <w:rFonts w:hint="eastAsia" w:ascii="仿宋" w:hAnsi="仿宋" w:eastAsia="仿宋" w:cs="仿宋_GB2312"/>
          <w:color w:val="000000"/>
        </w:rPr>
        <w:t>分，实用新型或外观设计专利得</w:t>
      </w:r>
      <w:r>
        <w:rPr>
          <w:rFonts w:ascii="仿宋" w:hAnsi="仿宋" w:eastAsia="仿宋" w:cs="仿宋_GB2312"/>
          <w:color w:val="000000"/>
        </w:rPr>
        <w:t>0.5</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2. </w:t>
      </w:r>
      <w:r>
        <w:rPr>
          <w:rFonts w:hint="eastAsia" w:ascii="仿宋" w:hAnsi="仿宋" w:eastAsia="仿宋" w:cs="仿宋_GB2312"/>
          <w:color w:val="000000"/>
        </w:rPr>
        <w:t>每获得一项国家级科技进步奖或高新技术产品得</w:t>
      </w:r>
      <w:r>
        <w:rPr>
          <w:rFonts w:ascii="仿宋" w:hAnsi="仿宋" w:eastAsia="仿宋" w:cs="仿宋_GB2312"/>
          <w:color w:val="000000"/>
        </w:rPr>
        <w:t>4</w:t>
      </w:r>
      <w:r>
        <w:rPr>
          <w:rFonts w:hint="eastAsia" w:ascii="仿宋" w:hAnsi="仿宋" w:eastAsia="仿宋" w:cs="仿宋_GB2312"/>
          <w:color w:val="000000"/>
        </w:rPr>
        <w:t>分，一项省级科技进步奖或高新技术产品得</w:t>
      </w:r>
      <w:r>
        <w:rPr>
          <w:rFonts w:ascii="仿宋" w:hAnsi="仿宋" w:eastAsia="仿宋" w:cs="仿宋_GB2312"/>
          <w:color w:val="000000"/>
        </w:rPr>
        <w:t>2</w:t>
      </w:r>
      <w:r>
        <w:rPr>
          <w:rFonts w:hint="eastAsia" w:ascii="仿宋" w:hAnsi="仿宋" w:eastAsia="仿宋" w:cs="仿宋_GB2312"/>
          <w:color w:val="000000"/>
        </w:rPr>
        <w:t>分；一项宁波市级科技进步奖或高新技术产品得</w:t>
      </w:r>
      <w:r>
        <w:rPr>
          <w:rFonts w:ascii="仿宋" w:hAnsi="仿宋" w:eastAsia="仿宋" w:cs="仿宋_GB2312"/>
          <w:color w:val="000000"/>
        </w:rPr>
        <w:t>1</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3. </w:t>
      </w:r>
      <w:r>
        <w:rPr>
          <w:rFonts w:hint="eastAsia" w:ascii="仿宋" w:hAnsi="仿宋" w:eastAsia="仿宋" w:cs="仿宋_GB2312"/>
          <w:color w:val="000000"/>
        </w:rPr>
        <w:t>获得高新技术企业荣誉得</w:t>
      </w:r>
      <w:r>
        <w:rPr>
          <w:rFonts w:ascii="仿宋" w:hAnsi="仿宋" w:eastAsia="仿宋" w:cs="仿宋_GB2312"/>
          <w:color w:val="000000"/>
        </w:rPr>
        <w:t>5</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4. </w:t>
      </w:r>
      <w:r>
        <w:rPr>
          <w:rFonts w:hint="eastAsia" w:ascii="仿宋" w:hAnsi="仿宋" w:eastAsia="仿宋" w:cs="仿宋_GB2312"/>
          <w:color w:val="000000"/>
        </w:rPr>
        <w:t>每参与一项国际标准制修订得</w:t>
      </w:r>
      <w:r>
        <w:rPr>
          <w:rFonts w:ascii="仿宋" w:hAnsi="仿宋" w:eastAsia="仿宋" w:cs="仿宋_GB2312"/>
          <w:color w:val="000000"/>
        </w:rPr>
        <w:t>5</w:t>
      </w:r>
      <w:r>
        <w:rPr>
          <w:rFonts w:hint="eastAsia" w:ascii="仿宋" w:hAnsi="仿宋" w:eastAsia="仿宋" w:cs="仿宋_GB2312"/>
          <w:color w:val="000000"/>
        </w:rPr>
        <w:t>分，一项国家标准制修订得</w:t>
      </w:r>
      <w:r>
        <w:rPr>
          <w:rFonts w:ascii="仿宋" w:hAnsi="仿宋" w:eastAsia="仿宋" w:cs="仿宋_GB2312"/>
          <w:color w:val="000000"/>
        </w:rPr>
        <w:t>3</w:t>
      </w:r>
      <w:r>
        <w:rPr>
          <w:rFonts w:hint="eastAsia" w:ascii="仿宋" w:hAnsi="仿宋" w:eastAsia="仿宋" w:cs="仿宋_GB2312"/>
          <w:color w:val="000000"/>
        </w:rPr>
        <w:t>分，一项行业标准制修订得</w:t>
      </w:r>
      <w:r>
        <w:rPr>
          <w:rFonts w:ascii="仿宋" w:hAnsi="仿宋" w:eastAsia="仿宋" w:cs="仿宋_GB2312"/>
          <w:color w:val="000000"/>
        </w:rPr>
        <w:t>1</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各项得分可以累计，最多不超过</w:t>
      </w:r>
      <w:r>
        <w:rPr>
          <w:rFonts w:ascii="仿宋" w:hAnsi="仿宋" w:eastAsia="仿宋" w:cs="仿宋_GB2312"/>
          <w:color w:val="000000"/>
        </w:rPr>
        <w:t>30</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楷体_GB2312"/>
          <w:color w:val="000000"/>
        </w:rPr>
        <w:t>（二）组织生产的国际标准化程度（覆盖范围包括申报类别商品），</w:t>
      </w:r>
      <w:r>
        <w:rPr>
          <w:rFonts w:ascii="仿宋" w:hAnsi="仿宋" w:eastAsia="仿宋" w:cs="楷体_GB2312"/>
          <w:color w:val="000000"/>
        </w:rPr>
        <w:t>20</w:t>
      </w:r>
      <w:r>
        <w:rPr>
          <w:rFonts w:hint="eastAsia" w:ascii="仿宋" w:hAnsi="仿宋" w:eastAsia="仿宋" w:cs="楷体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1. </w:t>
      </w:r>
      <w:r>
        <w:rPr>
          <w:rFonts w:hint="eastAsia" w:ascii="仿宋" w:hAnsi="仿宋" w:eastAsia="仿宋" w:cs="仿宋_GB2312"/>
          <w:color w:val="000000"/>
        </w:rPr>
        <w:t>通过国际通行的质量管理体系认证（</w:t>
      </w:r>
      <w:r>
        <w:rPr>
          <w:rFonts w:ascii="仿宋" w:hAnsi="仿宋" w:eastAsia="仿宋" w:cs="仿宋_GB2312"/>
          <w:color w:val="000000"/>
        </w:rPr>
        <w:t>ISO9000</w:t>
      </w:r>
      <w:r>
        <w:rPr>
          <w:rFonts w:hint="eastAsia" w:ascii="仿宋" w:hAnsi="仿宋" w:eastAsia="仿宋" w:cs="仿宋_GB2312"/>
          <w:color w:val="000000"/>
        </w:rPr>
        <w:t>系列、</w:t>
      </w:r>
      <w:r>
        <w:rPr>
          <w:rFonts w:ascii="仿宋" w:hAnsi="仿宋" w:eastAsia="仿宋" w:cs="仿宋_GB2312"/>
          <w:color w:val="000000"/>
        </w:rPr>
        <w:t>GMP</w:t>
      </w:r>
      <w:r>
        <w:rPr>
          <w:rFonts w:hint="eastAsia" w:ascii="仿宋" w:hAnsi="仿宋" w:eastAsia="仿宋" w:cs="仿宋_GB2312"/>
          <w:color w:val="000000"/>
        </w:rPr>
        <w:t>、</w:t>
      </w:r>
      <w:r>
        <w:rPr>
          <w:rFonts w:ascii="仿宋" w:hAnsi="仿宋" w:eastAsia="仿宋" w:cs="仿宋_GB2312"/>
          <w:color w:val="000000"/>
        </w:rPr>
        <w:t>HACCP</w:t>
      </w:r>
      <w:r>
        <w:rPr>
          <w:rFonts w:hint="eastAsia" w:ascii="仿宋" w:hAnsi="仿宋" w:eastAsia="仿宋" w:cs="仿宋_GB2312"/>
          <w:color w:val="000000"/>
        </w:rPr>
        <w:t>、</w:t>
      </w:r>
      <w:r>
        <w:rPr>
          <w:rFonts w:ascii="仿宋" w:hAnsi="仿宋" w:eastAsia="仿宋" w:cs="仿宋_GB2312"/>
          <w:color w:val="000000"/>
        </w:rPr>
        <w:t>ISO/TS16949</w:t>
      </w:r>
      <w:r>
        <w:rPr>
          <w:rFonts w:hint="eastAsia" w:ascii="仿宋" w:hAnsi="仿宋" w:eastAsia="仿宋" w:cs="仿宋_GB2312"/>
          <w:color w:val="000000"/>
        </w:rPr>
        <w:t>等）情况。</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2. </w:t>
      </w:r>
      <w:r>
        <w:rPr>
          <w:rFonts w:hint="eastAsia" w:ascii="仿宋" w:hAnsi="仿宋" w:eastAsia="仿宋" w:cs="仿宋_GB2312"/>
          <w:color w:val="000000"/>
        </w:rPr>
        <w:t>通过国际通行的环境管理体系（</w:t>
      </w:r>
      <w:r>
        <w:rPr>
          <w:rFonts w:ascii="仿宋" w:hAnsi="仿宋" w:eastAsia="仿宋" w:cs="仿宋_GB2312"/>
          <w:color w:val="000000"/>
        </w:rPr>
        <w:t>ISO14000</w:t>
      </w:r>
      <w:r>
        <w:rPr>
          <w:rFonts w:hint="eastAsia" w:ascii="仿宋" w:hAnsi="仿宋" w:eastAsia="仿宋" w:cs="仿宋_GB2312"/>
          <w:color w:val="000000"/>
        </w:rPr>
        <w:t>系列等）认证情况。</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3. </w:t>
      </w:r>
      <w:r>
        <w:rPr>
          <w:rFonts w:hint="eastAsia" w:ascii="仿宋" w:hAnsi="仿宋" w:eastAsia="仿宋" w:cs="仿宋_GB2312"/>
          <w:color w:val="000000"/>
        </w:rPr>
        <w:t>通过国际通行的职业健康安全管理体系（</w:t>
      </w:r>
      <w:r>
        <w:rPr>
          <w:rFonts w:ascii="仿宋" w:hAnsi="仿宋" w:eastAsia="仿宋" w:cs="仿宋_GB2312"/>
          <w:color w:val="000000"/>
        </w:rPr>
        <w:t>OHSAS18000</w:t>
      </w:r>
      <w:r>
        <w:rPr>
          <w:rFonts w:hint="eastAsia" w:ascii="仿宋" w:hAnsi="仿宋" w:eastAsia="仿宋" w:cs="仿宋_GB2312"/>
          <w:color w:val="000000"/>
        </w:rPr>
        <w:t>系列、</w:t>
      </w:r>
      <w:r>
        <w:rPr>
          <w:rFonts w:ascii="仿宋" w:hAnsi="仿宋" w:eastAsia="仿宋" w:cs="仿宋_GB2312"/>
          <w:color w:val="000000"/>
        </w:rPr>
        <w:t>SA8000</w:t>
      </w:r>
      <w:r>
        <w:rPr>
          <w:rFonts w:hint="eastAsia" w:ascii="仿宋" w:hAnsi="仿宋" w:eastAsia="仿宋" w:cs="仿宋_GB2312"/>
          <w:color w:val="000000"/>
        </w:rPr>
        <w:t>等）认证情况。</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通过以上其中一类认证的得</w:t>
      </w:r>
      <w:r>
        <w:rPr>
          <w:rFonts w:ascii="仿宋" w:hAnsi="仿宋" w:eastAsia="仿宋" w:cs="仿宋_GB2312"/>
          <w:color w:val="000000"/>
        </w:rPr>
        <w:t>8</w:t>
      </w:r>
      <w:r>
        <w:rPr>
          <w:rFonts w:hint="eastAsia" w:ascii="仿宋" w:hAnsi="仿宋" w:eastAsia="仿宋" w:cs="仿宋_GB2312"/>
          <w:color w:val="000000"/>
        </w:rPr>
        <w:t>分（共三类，每一类中通过任何一项认证均可得分），累计不超过</w:t>
      </w:r>
      <w:r>
        <w:rPr>
          <w:rFonts w:ascii="仿宋" w:hAnsi="仿宋" w:eastAsia="仿宋" w:cs="仿宋_GB2312"/>
          <w:color w:val="000000"/>
        </w:rPr>
        <w:t>20</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楷体_GB2312"/>
          <w:color w:val="000000"/>
        </w:rPr>
        <w:t>（三）市场销售和消费者认可，</w:t>
      </w:r>
      <w:r>
        <w:rPr>
          <w:rFonts w:ascii="仿宋" w:hAnsi="仿宋" w:eastAsia="仿宋" w:cs="楷体_GB2312"/>
          <w:color w:val="000000"/>
        </w:rPr>
        <w:t>35</w:t>
      </w:r>
      <w:r>
        <w:rPr>
          <w:rFonts w:hint="eastAsia" w:ascii="仿宋" w:hAnsi="仿宋" w:eastAsia="仿宋" w:cs="楷体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1. </w:t>
      </w:r>
      <w:r>
        <w:rPr>
          <w:rFonts w:hint="eastAsia" w:ascii="仿宋" w:hAnsi="仿宋" w:eastAsia="仿宋" w:cs="仿宋_GB2312"/>
          <w:color w:val="000000"/>
        </w:rPr>
        <w:t>上年度出口额、自有品牌出口比重以及企业出口额在全国同行业中的排名情况。企业上年度出口额达到规定标准得</w:t>
      </w:r>
      <w:r>
        <w:rPr>
          <w:rFonts w:ascii="仿宋" w:hAnsi="仿宋" w:eastAsia="仿宋" w:cs="仿宋_GB2312"/>
          <w:color w:val="000000"/>
        </w:rPr>
        <w:t>10</w:t>
      </w:r>
      <w:r>
        <w:rPr>
          <w:rFonts w:hint="eastAsia" w:ascii="仿宋" w:hAnsi="仿宋" w:eastAsia="仿宋" w:cs="仿宋_GB2312"/>
          <w:color w:val="000000"/>
        </w:rPr>
        <w:t>分。上年度出口额不低于</w:t>
      </w:r>
      <w:r>
        <w:rPr>
          <w:rFonts w:ascii="仿宋" w:hAnsi="仿宋" w:eastAsia="仿宋" w:cs="仿宋_GB2312"/>
          <w:color w:val="000000"/>
        </w:rPr>
        <w:t>1000</w:t>
      </w:r>
      <w:r>
        <w:rPr>
          <w:rFonts w:hint="eastAsia" w:ascii="仿宋" w:hAnsi="仿宋" w:eastAsia="仿宋" w:cs="仿宋_GB2312"/>
          <w:color w:val="000000"/>
        </w:rPr>
        <w:t>万美元，农副产品出口额不低于</w:t>
      </w:r>
      <w:r>
        <w:rPr>
          <w:rFonts w:ascii="仿宋" w:hAnsi="仿宋" w:eastAsia="仿宋" w:cs="仿宋_GB2312"/>
          <w:color w:val="000000"/>
        </w:rPr>
        <w:t>500</w:t>
      </w:r>
      <w:r>
        <w:rPr>
          <w:rFonts w:hint="eastAsia" w:ascii="仿宋" w:hAnsi="仿宋" w:eastAsia="仿宋" w:cs="仿宋_GB2312"/>
          <w:color w:val="000000"/>
        </w:rPr>
        <w:t>万美元，自有品牌出口额占</w:t>
      </w:r>
      <w:r>
        <w:rPr>
          <w:rFonts w:ascii="仿宋" w:hAnsi="仿宋" w:eastAsia="仿宋" w:cs="仿宋_GB2312"/>
          <w:color w:val="000000"/>
        </w:rPr>
        <w:t>20</w:t>
      </w:r>
      <w:r>
        <w:rPr>
          <w:rFonts w:hint="eastAsia" w:ascii="仿宋" w:hAnsi="仿宋" w:eastAsia="仿宋" w:cs="仿宋_GB2312"/>
          <w:color w:val="000000"/>
        </w:rPr>
        <w:t>％以上的企业每增加</w:t>
      </w:r>
      <w:r>
        <w:rPr>
          <w:rFonts w:ascii="仿宋" w:hAnsi="仿宋" w:eastAsia="仿宋" w:cs="仿宋_GB2312"/>
          <w:color w:val="000000"/>
        </w:rPr>
        <w:t>250</w:t>
      </w:r>
      <w:r>
        <w:rPr>
          <w:rFonts w:hint="eastAsia" w:ascii="仿宋" w:hAnsi="仿宋" w:eastAsia="仿宋" w:cs="仿宋_GB2312"/>
          <w:color w:val="000000"/>
        </w:rPr>
        <w:t>万美元加</w:t>
      </w:r>
      <w:r>
        <w:rPr>
          <w:rFonts w:ascii="仿宋" w:hAnsi="仿宋" w:eastAsia="仿宋" w:cs="仿宋_GB2312"/>
          <w:color w:val="000000"/>
        </w:rPr>
        <w:t>1</w:t>
      </w:r>
      <w:r>
        <w:rPr>
          <w:rFonts w:hint="eastAsia" w:ascii="仿宋" w:hAnsi="仿宋" w:eastAsia="仿宋" w:cs="仿宋_GB2312"/>
          <w:color w:val="000000"/>
        </w:rPr>
        <w:t>分；上年度出口额不低于</w:t>
      </w:r>
      <w:r>
        <w:rPr>
          <w:rFonts w:ascii="仿宋" w:hAnsi="仿宋" w:eastAsia="仿宋" w:cs="仿宋_GB2312"/>
          <w:color w:val="000000"/>
        </w:rPr>
        <w:t>500</w:t>
      </w:r>
      <w:r>
        <w:rPr>
          <w:rFonts w:hint="eastAsia" w:ascii="仿宋" w:hAnsi="仿宋" w:eastAsia="仿宋" w:cs="仿宋_GB2312"/>
          <w:color w:val="000000"/>
        </w:rPr>
        <w:t>万美元，农副产品出口额不低于</w:t>
      </w:r>
      <w:r>
        <w:rPr>
          <w:rFonts w:ascii="仿宋" w:hAnsi="仿宋" w:eastAsia="仿宋" w:cs="仿宋_GB2312"/>
          <w:color w:val="000000"/>
        </w:rPr>
        <w:t>250</w:t>
      </w:r>
      <w:r>
        <w:rPr>
          <w:rFonts w:hint="eastAsia" w:ascii="仿宋" w:hAnsi="仿宋" w:eastAsia="仿宋" w:cs="仿宋_GB2312"/>
          <w:color w:val="000000"/>
        </w:rPr>
        <w:t>万美元，自有品牌出口额占</w:t>
      </w:r>
      <w:r>
        <w:rPr>
          <w:rFonts w:ascii="仿宋" w:hAnsi="仿宋" w:eastAsia="仿宋" w:cs="仿宋_GB2312"/>
          <w:color w:val="000000"/>
        </w:rPr>
        <w:t>60</w:t>
      </w:r>
      <w:r>
        <w:rPr>
          <w:rFonts w:hint="eastAsia" w:ascii="仿宋" w:hAnsi="仿宋" w:eastAsia="仿宋" w:cs="仿宋_GB2312"/>
          <w:color w:val="000000"/>
        </w:rPr>
        <w:t>％以上的企业每增加</w:t>
      </w:r>
      <w:r>
        <w:rPr>
          <w:rFonts w:ascii="仿宋" w:hAnsi="仿宋" w:eastAsia="仿宋" w:cs="仿宋_GB2312"/>
          <w:color w:val="000000"/>
        </w:rPr>
        <w:t>100</w:t>
      </w:r>
      <w:r>
        <w:rPr>
          <w:rFonts w:hint="eastAsia" w:ascii="仿宋" w:hAnsi="仿宋" w:eastAsia="仿宋" w:cs="仿宋_GB2312"/>
          <w:color w:val="000000"/>
        </w:rPr>
        <w:t>万美元加</w:t>
      </w:r>
      <w:r>
        <w:rPr>
          <w:rFonts w:ascii="仿宋" w:hAnsi="仿宋" w:eastAsia="仿宋" w:cs="仿宋_GB2312"/>
          <w:color w:val="000000"/>
        </w:rPr>
        <w:t>1</w:t>
      </w:r>
      <w:r>
        <w:rPr>
          <w:rFonts w:hint="eastAsia" w:ascii="仿宋" w:hAnsi="仿宋" w:eastAsia="仿宋" w:cs="仿宋_GB2312"/>
          <w:color w:val="000000"/>
        </w:rPr>
        <w:t>分。申报类别商品上年度出口额在全国同行业中排名第一加</w:t>
      </w:r>
      <w:r>
        <w:rPr>
          <w:rFonts w:ascii="仿宋" w:hAnsi="仿宋" w:eastAsia="仿宋" w:cs="仿宋_GB2312"/>
          <w:color w:val="000000"/>
        </w:rPr>
        <w:t>5</w:t>
      </w:r>
      <w:r>
        <w:rPr>
          <w:rFonts w:hint="eastAsia" w:ascii="仿宋" w:hAnsi="仿宋" w:eastAsia="仿宋" w:cs="仿宋_GB2312"/>
          <w:color w:val="000000"/>
        </w:rPr>
        <w:t>分，第二加</w:t>
      </w:r>
      <w:r>
        <w:rPr>
          <w:rFonts w:ascii="仿宋" w:hAnsi="仿宋" w:eastAsia="仿宋" w:cs="仿宋_GB2312"/>
          <w:color w:val="000000"/>
        </w:rPr>
        <w:t>4</w:t>
      </w:r>
      <w:r>
        <w:rPr>
          <w:rFonts w:hint="eastAsia" w:ascii="仿宋" w:hAnsi="仿宋" w:eastAsia="仿宋" w:cs="仿宋_GB2312"/>
          <w:color w:val="000000"/>
        </w:rPr>
        <w:t>分，第三加</w:t>
      </w:r>
      <w:r>
        <w:rPr>
          <w:rFonts w:ascii="仿宋" w:hAnsi="仿宋" w:eastAsia="仿宋" w:cs="仿宋_GB2312"/>
          <w:color w:val="000000"/>
        </w:rPr>
        <w:t>3</w:t>
      </w:r>
      <w:r>
        <w:rPr>
          <w:rFonts w:hint="eastAsia" w:ascii="仿宋" w:hAnsi="仿宋" w:eastAsia="仿宋" w:cs="仿宋_GB2312"/>
          <w:color w:val="000000"/>
        </w:rPr>
        <w:t>分，第四加</w:t>
      </w:r>
      <w:r>
        <w:rPr>
          <w:rFonts w:ascii="仿宋" w:hAnsi="仿宋" w:eastAsia="仿宋" w:cs="仿宋_GB2312"/>
          <w:color w:val="000000"/>
        </w:rPr>
        <w:t>2</w:t>
      </w:r>
      <w:r>
        <w:rPr>
          <w:rFonts w:hint="eastAsia" w:ascii="仿宋" w:hAnsi="仿宋" w:eastAsia="仿宋" w:cs="仿宋_GB2312"/>
          <w:color w:val="000000"/>
        </w:rPr>
        <w:t>分，第五加</w:t>
      </w:r>
      <w:r>
        <w:rPr>
          <w:rFonts w:ascii="仿宋" w:hAnsi="仿宋" w:eastAsia="仿宋" w:cs="仿宋_GB2312"/>
          <w:color w:val="000000"/>
        </w:rPr>
        <w:t>1</w:t>
      </w:r>
      <w:r>
        <w:rPr>
          <w:rFonts w:hint="eastAsia" w:ascii="仿宋" w:hAnsi="仿宋" w:eastAsia="仿宋" w:cs="仿宋_GB2312"/>
          <w:color w:val="000000"/>
        </w:rPr>
        <w:t>分；但累计不超过</w:t>
      </w:r>
      <w:r>
        <w:rPr>
          <w:rFonts w:ascii="仿宋" w:hAnsi="仿宋" w:eastAsia="仿宋" w:cs="仿宋_GB2312"/>
          <w:color w:val="000000"/>
        </w:rPr>
        <w:t>25</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2. </w:t>
      </w:r>
      <w:r>
        <w:rPr>
          <w:rFonts w:hint="eastAsia" w:ascii="仿宋" w:hAnsi="仿宋" w:eastAsia="仿宋" w:cs="仿宋_GB2312"/>
          <w:color w:val="000000"/>
        </w:rPr>
        <w:t>企业上年度销售额每</w:t>
      </w:r>
      <w:r>
        <w:rPr>
          <w:rFonts w:ascii="仿宋" w:hAnsi="仿宋" w:eastAsia="仿宋" w:cs="仿宋_GB2312"/>
          <w:color w:val="000000"/>
        </w:rPr>
        <w:t>1</w:t>
      </w:r>
      <w:r>
        <w:rPr>
          <w:rFonts w:hint="eastAsia" w:ascii="仿宋" w:hAnsi="仿宋" w:eastAsia="仿宋" w:cs="仿宋_GB2312"/>
          <w:color w:val="000000"/>
        </w:rPr>
        <w:t>亿元人民币得</w:t>
      </w:r>
      <w:r>
        <w:rPr>
          <w:rFonts w:ascii="仿宋" w:hAnsi="仿宋" w:eastAsia="仿宋" w:cs="仿宋_GB2312"/>
          <w:color w:val="000000"/>
        </w:rPr>
        <w:t>1</w:t>
      </w:r>
      <w:r>
        <w:rPr>
          <w:rFonts w:hint="eastAsia" w:ascii="仿宋" w:hAnsi="仿宋" w:eastAsia="仿宋" w:cs="仿宋_GB2312"/>
          <w:color w:val="000000"/>
        </w:rPr>
        <w:t>分，但累计不超过</w:t>
      </w:r>
      <w:r>
        <w:rPr>
          <w:rFonts w:ascii="仿宋" w:hAnsi="仿宋" w:eastAsia="仿宋" w:cs="仿宋_GB2312"/>
          <w:color w:val="000000"/>
        </w:rPr>
        <w:t>10</w:t>
      </w:r>
      <w:r>
        <w:rPr>
          <w:rFonts w:hint="eastAsia" w:ascii="仿宋" w:hAnsi="仿宋" w:eastAsia="仿宋" w:cs="仿宋_GB2312"/>
          <w:color w:val="000000"/>
        </w:rPr>
        <w:t>分。</w:t>
      </w:r>
    </w:p>
    <w:p>
      <w:pPr>
        <w:autoSpaceDE w:val="0"/>
        <w:autoSpaceDN w:val="0"/>
        <w:ind w:firstLine="612" w:firstLineChars="196"/>
        <w:rPr>
          <w:rFonts w:ascii="仿宋" w:hAnsi="仿宋" w:eastAsia="仿宋"/>
          <w:color w:val="000000"/>
        </w:rPr>
      </w:pPr>
      <w:r>
        <w:rPr>
          <w:rFonts w:hint="eastAsia" w:ascii="仿宋" w:hAnsi="仿宋" w:eastAsia="仿宋" w:cs="楷体_GB2312"/>
          <w:color w:val="000000"/>
        </w:rPr>
        <w:t>（四）全球化经营，</w:t>
      </w:r>
      <w:r>
        <w:rPr>
          <w:rFonts w:ascii="仿宋" w:hAnsi="仿宋" w:eastAsia="仿宋" w:cs="楷体_GB2312"/>
          <w:color w:val="000000"/>
        </w:rPr>
        <w:t>15</w:t>
      </w:r>
      <w:r>
        <w:rPr>
          <w:rFonts w:hint="eastAsia" w:ascii="仿宋" w:hAnsi="仿宋" w:eastAsia="仿宋" w:cs="楷体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 xml:space="preserve">1. </w:t>
      </w:r>
      <w:r>
        <w:rPr>
          <w:rFonts w:hint="eastAsia" w:ascii="仿宋" w:hAnsi="仿宋" w:eastAsia="仿宋" w:cs="仿宋_GB2312"/>
          <w:color w:val="000000"/>
        </w:rPr>
        <w:t>海外（中国关境外）设立营销机构、研发中心、生产基地、跨境电子商务公共海外仓数量。在海外每设立一个营销机构、公共海外仓得</w:t>
      </w:r>
      <w:r>
        <w:rPr>
          <w:rFonts w:ascii="仿宋" w:hAnsi="仿宋" w:eastAsia="仿宋" w:cs="仿宋_GB2312"/>
          <w:color w:val="000000"/>
        </w:rPr>
        <w:t>2</w:t>
      </w:r>
      <w:r>
        <w:rPr>
          <w:rFonts w:hint="eastAsia" w:ascii="仿宋" w:hAnsi="仿宋" w:eastAsia="仿宋" w:cs="仿宋_GB2312"/>
          <w:color w:val="000000"/>
        </w:rPr>
        <w:t>分，设立研发中心、生产基地得</w:t>
      </w:r>
      <w:r>
        <w:rPr>
          <w:rFonts w:ascii="仿宋" w:hAnsi="仿宋" w:eastAsia="仿宋" w:cs="仿宋_GB2312"/>
          <w:color w:val="000000"/>
        </w:rPr>
        <w:t>3</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ascii="仿宋" w:hAnsi="仿宋" w:eastAsia="仿宋" w:cs="仿宋_GB2312"/>
          <w:color w:val="000000"/>
        </w:rPr>
        <w:t>2.</w:t>
      </w:r>
      <w:r>
        <w:rPr>
          <w:rFonts w:hint="eastAsia" w:ascii="仿宋" w:hAnsi="仿宋" w:eastAsia="仿宋" w:cs="仿宋_GB2312"/>
          <w:color w:val="000000"/>
        </w:rPr>
        <w:t>上年度申报品牌在境外通过电视、报刊、杂志大众媒体传播、户外广告、网络传播、赞助活动等形式进行宣传。每通过一种媒介宣传得</w:t>
      </w:r>
      <w:r>
        <w:rPr>
          <w:rFonts w:ascii="仿宋" w:hAnsi="仿宋" w:eastAsia="仿宋" w:cs="仿宋_GB2312"/>
          <w:color w:val="000000"/>
        </w:rPr>
        <w:t>1</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各项得分可以累计，最多不超过</w:t>
      </w:r>
      <w:r>
        <w:rPr>
          <w:rFonts w:ascii="仿宋" w:hAnsi="仿宋" w:eastAsia="仿宋" w:cs="仿宋_GB2312"/>
          <w:color w:val="000000"/>
        </w:rPr>
        <w:t>15</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楷体_GB2312"/>
          <w:color w:val="000000"/>
        </w:rPr>
        <w:t>（五）知识产权保护，</w:t>
      </w:r>
      <w:r>
        <w:rPr>
          <w:rFonts w:ascii="仿宋" w:hAnsi="仿宋" w:eastAsia="仿宋" w:cs="楷体_GB2312"/>
          <w:color w:val="000000"/>
        </w:rPr>
        <w:t>10</w:t>
      </w:r>
      <w:r>
        <w:rPr>
          <w:rFonts w:hint="eastAsia" w:ascii="仿宋" w:hAnsi="仿宋" w:eastAsia="仿宋" w:cs="楷体_GB2312"/>
          <w:color w:val="000000"/>
        </w:rPr>
        <w:t>分</w:t>
      </w:r>
    </w:p>
    <w:p>
      <w:pPr>
        <w:autoSpaceDE w:val="0"/>
        <w:autoSpaceDN w:val="0"/>
        <w:ind w:firstLine="612" w:firstLineChars="196"/>
        <w:rPr>
          <w:rFonts w:ascii="仿宋" w:hAnsi="仿宋" w:eastAsia="仿宋"/>
          <w:color w:val="000000"/>
        </w:rPr>
      </w:pPr>
      <w:r>
        <w:rPr>
          <w:rFonts w:hint="eastAsia" w:ascii="仿宋" w:hAnsi="仿宋" w:eastAsia="仿宋" w:cs="仿宋_GB2312"/>
          <w:color w:val="000000"/>
        </w:rPr>
        <w:t>海外（中国关境外）商标注册（商标注册范围须涵盖申报类别商品）情况。每在海外一个国家（或地区）注册商标的得</w:t>
      </w:r>
      <w:r>
        <w:rPr>
          <w:rFonts w:ascii="仿宋" w:hAnsi="仿宋" w:eastAsia="仿宋" w:cs="仿宋_GB2312"/>
          <w:color w:val="000000"/>
        </w:rPr>
        <w:t>1</w:t>
      </w:r>
      <w:r>
        <w:rPr>
          <w:rFonts w:hint="eastAsia" w:ascii="仿宋" w:hAnsi="仿宋" w:eastAsia="仿宋" w:cs="仿宋_GB2312"/>
          <w:color w:val="000000"/>
        </w:rPr>
        <w:t>分，累计不超过</w:t>
      </w:r>
      <w:r>
        <w:rPr>
          <w:rFonts w:ascii="仿宋" w:hAnsi="仿宋" w:eastAsia="仿宋" w:cs="仿宋_GB2312"/>
          <w:color w:val="000000"/>
        </w:rPr>
        <w:t>10</w:t>
      </w:r>
      <w:r>
        <w:rPr>
          <w:rFonts w:hint="eastAsia" w:ascii="仿宋" w:hAnsi="仿宋" w:eastAsia="仿宋" w:cs="仿宋_GB2312"/>
          <w:color w:val="000000"/>
        </w:rPr>
        <w:t>分。</w:t>
      </w:r>
    </w:p>
    <w:p>
      <w:pPr>
        <w:autoSpaceDE w:val="0"/>
        <w:autoSpaceDN w:val="0"/>
        <w:ind w:firstLine="612" w:firstLineChars="196"/>
        <w:rPr>
          <w:rFonts w:ascii="仿宋" w:hAnsi="仿宋" w:eastAsia="仿宋"/>
          <w:color w:val="000000"/>
        </w:rPr>
      </w:pPr>
      <w:r>
        <w:rPr>
          <w:rFonts w:hint="eastAsia" w:ascii="仿宋" w:hAnsi="仿宋" w:eastAsia="仿宋" w:cs="楷体_GB2312"/>
          <w:color w:val="000000"/>
        </w:rPr>
        <w:t>（六）社会评价，</w:t>
      </w:r>
      <w:r>
        <w:rPr>
          <w:rFonts w:ascii="仿宋" w:hAnsi="仿宋" w:eastAsia="仿宋" w:cs="楷体_GB2312"/>
          <w:color w:val="000000"/>
        </w:rPr>
        <w:t>10</w:t>
      </w:r>
      <w:r>
        <w:rPr>
          <w:rFonts w:hint="eastAsia" w:ascii="仿宋" w:hAnsi="仿宋" w:eastAsia="仿宋" w:cs="楷体_GB2312"/>
          <w:color w:val="000000"/>
        </w:rPr>
        <w:t>分</w:t>
      </w:r>
    </w:p>
    <w:p>
      <w:pPr>
        <w:autoSpaceDE w:val="0"/>
        <w:autoSpaceDN w:val="0"/>
        <w:ind w:firstLine="624" w:firstLineChars="200"/>
        <w:rPr>
          <w:rFonts w:ascii="仿宋" w:hAnsi="仿宋" w:eastAsia="仿宋"/>
          <w:color w:val="000000"/>
        </w:rPr>
      </w:pPr>
      <w:r>
        <w:rPr>
          <w:rFonts w:hint="eastAsia" w:ascii="仿宋" w:hAnsi="仿宋" w:eastAsia="仿宋" w:cs="仿宋_GB2312"/>
          <w:color w:val="000000"/>
        </w:rPr>
        <w:t>获得市级以上权威机构颁发荣誉称号（有覆盖范围的，应包括申报类别商品）的情况。曾获得</w:t>
      </w:r>
      <w:r>
        <w:rPr>
          <w:rFonts w:hint="eastAsia" w:ascii="仿宋" w:hAnsi="仿宋" w:eastAsia="仿宋"/>
          <w:color w:val="000000"/>
        </w:rPr>
        <w:t>“</w:t>
      </w:r>
      <w:r>
        <w:rPr>
          <w:rFonts w:hint="eastAsia" w:ascii="仿宋" w:hAnsi="仿宋" w:eastAsia="仿宋" w:cs="仿宋_GB2312"/>
          <w:color w:val="000000"/>
        </w:rPr>
        <w:t>中国名牌产品</w:t>
      </w:r>
      <w:r>
        <w:rPr>
          <w:rFonts w:hint="eastAsia" w:ascii="仿宋" w:hAnsi="仿宋" w:eastAsia="仿宋"/>
          <w:color w:val="000000"/>
        </w:rPr>
        <w:t>”</w:t>
      </w:r>
      <w:r>
        <w:rPr>
          <w:rFonts w:hint="eastAsia" w:ascii="仿宋" w:hAnsi="仿宋" w:eastAsia="仿宋" w:cs="仿宋_GB2312"/>
          <w:color w:val="000000"/>
        </w:rPr>
        <w:t>、</w:t>
      </w:r>
      <w:r>
        <w:rPr>
          <w:rFonts w:hint="eastAsia" w:ascii="仿宋" w:hAnsi="仿宋" w:eastAsia="仿宋"/>
          <w:color w:val="000000"/>
        </w:rPr>
        <w:t>“</w:t>
      </w:r>
      <w:r>
        <w:rPr>
          <w:rFonts w:hint="eastAsia" w:ascii="仿宋" w:hAnsi="仿宋" w:eastAsia="仿宋" w:cs="仿宋_GB2312"/>
          <w:color w:val="000000"/>
        </w:rPr>
        <w:t>中国驰名商标</w:t>
      </w:r>
      <w:r>
        <w:rPr>
          <w:rFonts w:hint="eastAsia" w:ascii="仿宋" w:hAnsi="仿宋" w:eastAsia="仿宋"/>
          <w:color w:val="000000"/>
        </w:rPr>
        <w:t>”</w:t>
      </w:r>
      <w:r>
        <w:rPr>
          <w:rFonts w:hint="eastAsia" w:ascii="仿宋" w:hAnsi="仿宋" w:eastAsia="仿宋" w:cs="仿宋_GB2312"/>
          <w:color w:val="000000"/>
        </w:rPr>
        <w:t>、</w:t>
      </w:r>
      <w:r>
        <w:rPr>
          <w:rFonts w:hint="eastAsia" w:ascii="仿宋" w:hAnsi="仿宋" w:eastAsia="仿宋"/>
          <w:color w:val="000000"/>
        </w:rPr>
        <w:t>“</w:t>
      </w:r>
      <w:r>
        <w:rPr>
          <w:rFonts w:hint="eastAsia" w:ascii="仿宋" w:hAnsi="仿宋" w:eastAsia="仿宋" w:cs="仿宋_GB2312"/>
          <w:color w:val="000000"/>
        </w:rPr>
        <w:t>中国名牌农产品</w:t>
      </w:r>
      <w:r>
        <w:rPr>
          <w:rFonts w:hint="eastAsia" w:ascii="仿宋" w:hAnsi="仿宋" w:eastAsia="仿宋"/>
          <w:color w:val="000000"/>
        </w:rPr>
        <w:t>”</w:t>
      </w:r>
      <w:r>
        <w:rPr>
          <w:rFonts w:hint="eastAsia" w:ascii="仿宋" w:hAnsi="仿宋" w:eastAsia="仿宋" w:cs="仿宋_GB2312"/>
          <w:color w:val="000000"/>
        </w:rPr>
        <w:t>中一个荣誉称号得</w:t>
      </w:r>
      <w:r>
        <w:rPr>
          <w:rFonts w:ascii="仿宋" w:hAnsi="仿宋" w:eastAsia="仿宋" w:cs="仿宋_GB2312"/>
          <w:color w:val="000000"/>
        </w:rPr>
        <w:t>5</w:t>
      </w:r>
      <w:r>
        <w:rPr>
          <w:rFonts w:hint="eastAsia" w:ascii="仿宋" w:hAnsi="仿宋" w:eastAsia="仿宋" w:cs="仿宋_GB2312"/>
          <w:color w:val="000000"/>
        </w:rPr>
        <w:t>分，获得一个省级荣誉称号得</w:t>
      </w:r>
      <w:r>
        <w:rPr>
          <w:rFonts w:ascii="仿宋" w:hAnsi="仿宋" w:eastAsia="仿宋" w:cs="仿宋_GB2312"/>
          <w:color w:val="000000"/>
        </w:rPr>
        <w:t>3</w:t>
      </w:r>
      <w:r>
        <w:rPr>
          <w:rFonts w:hint="eastAsia" w:ascii="仿宋" w:hAnsi="仿宋" w:eastAsia="仿宋" w:cs="仿宋_GB2312"/>
          <w:color w:val="000000"/>
        </w:rPr>
        <w:t>分，获得一个市级荣誉称号得</w:t>
      </w:r>
      <w:r>
        <w:rPr>
          <w:rFonts w:ascii="仿宋" w:hAnsi="仿宋" w:eastAsia="仿宋" w:cs="仿宋_GB2312"/>
          <w:color w:val="000000"/>
        </w:rPr>
        <w:t>2</w:t>
      </w:r>
      <w:r>
        <w:rPr>
          <w:rFonts w:hint="eastAsia" w:ascii="仿宋" w:hAnsi="仿宋" w:eastAsia="仿宋" w:cs="仿宋_GB2312"/>
          <w:color w:val="000000"/>
        </w:rPr>
        <w:t>分。国家级得分与省级、市级得分不重复计算。各项得分可以累计，但最多不超过</w:t>
      </w:r>
      <w:r>
        <w:rPr>
          <w:rFonts w:ascii="仿宋" w:hAnsi="仿宋" w:eastAsia="仿宋" w:cs="仿宋_GB2312"/>
          <w:color w:val="000000"/>
        </w:rPr>
        <w:t>10</w:t>
      </w:r>
      <w:r>
        <w:rPr>
          <w:rFonts w:hint="eastAsia" w:ascii="仿宋" w:hAnsi="仿宋" w:eastAsia="仿宋" w:cs="仿宋_GB2312"/>
          <w:color w:val="000000"/>
        </w:rPr>
        <w:t>分。</w:t>
      </w:r>
    </w:p>
    <w:p>
      <w:pPr>
        <w:autoSpaceDE w:val="0"/>
        <w:autoSpaceDN w:val="0"/>
        <w:ind w:firstLine="624" w:firstLineChars="200"/>
        <w:rPr>
          <w:rFonts w:ascii="仿宋" w:hAnsi="仿宋" w:eastAsia="仿宋"/>
          <w:color w:val="000000"/>
        </w:rPr>
        <w:sectPr>
          <w:footerReference r:id="rId4" w:type="default"/>
          <w:pgSz w:w="11906" w:h="16838"/>
          <w:pgMar w:top="2098" w:right="1474" w:bottom="1985" w:left="1588" w:header="851" w:footer="1531" w:gutter="0"/>
          <w:pgNumType w:fmt="numberInDash"/>
          <w:cols w:space="720" w:num="1"/>
          <w:docGrid w:type="linesAndChars" w:linePitch="574" w:charSpace="-1683"/>
        </w:sectPr>
      </w:pPr>
      <w:r>
        <w:rPr>
          <w:rFonts w:hint="eastAsia" w:ascii="仿宋" w:hAnsi="仿宋" w:eastAsia="仿宋" w:cs="仿宋_GB2312"/>
          <w:color w:val="000000"/>
          <w:kern w:val="0"/>
        </w:rPr>
        <w:t>类别：名牌产品、驰名商标（著名商标）、名牌农产品、浙江制造、出口名优特产品、“品质浙货”出口领军企业。国家级颁发机构：国家质检总局、国家工商总局、农业部；省级颁发机构：省质监局、省工商局、省农业厅、省商务厅；</w:t>
      </w:r>
      <w:r>
        <w:rPr>
          <w:rFonts w:hint="eastAsia" w:ascii="仿宋" w:hAnsi="仿宋" w:eastAsia="仿宋" w:cs="仿宋_GB2312"/>
          <w:color w:val="000000"/>
        </w:rPr>
        <w:t>市级颁发机构：市质监局、市市场监督管理局、市农业局、市商务委。</w:t>
      </w:r>
    </w:p>
    <w:p>
      <w:pPr>
        <w:rPr>
          <w:rFonts w:eastAsia="黑体"/>
          <w:color w:val="000000"/>
        </w:rPr>
      </w:pPr>
      <w:r>
        <w:rPr>
          <w:rFonts w:hint="eastAsia" w:eastAsia="黑体" w:cs="黑体"/>
          <w:color w:val="000000"/>
        </w:rPr>
        <w:t>附件</w:t>
      </w:r>
      <w:r>
        <w:rPr>
          <w:rFonts w:eastAsia="黑体"/>
          <w:color w:val="000000"/>
        </w:rPr>
        <w:t>3</w:t>
      </w:r>
    </w:p>
    <w:p>
      <w:pPr>
        <w:autoSpaceDE w:val="0"/>
        <w:autoSpaceDN w:val="0"/>
        <w:jc w:val="center"/>
        <w:rPr>
          <w:rFonts w:ascii="宋体" w:hAnsi="宋体" w:eastAsia="宋体"/>
          <w:b/>
          <w:color w:val="000000"/>
          <w:kern w:val="0"/>
          <w:sz w:val="44"/>
          <w:szCs w:val="44"/>
        </w:rPr>
      </w:pPr>
      <w:r>
        <w:rPr>
          <w:rFonts w:hint="eastAsia" w:ascii="宋体" w:hAnsi="宋体" w:eastAsia="宋体" w:cs="创艺简标宋"/>
          <w:b/>
          <w:color w:val="000000"/>
          <w:kern w:val="0"/>
          <w:sz w:val="44"/>
          <w:szCs w:val="44"/>
        </w:rPr>
        <w:t>“浙江出口名牌”企业申报材料</w:t>
      </w:r>
    </w:p>
    <w:p>
      <w:pPr>
        <w:rPr>
          <w:color w:val="000000"/>
        </w:rPr>
      </w:pP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（一）</w:t>
      </w:r>
      <w:r>
        <w:rPr>
          <w:rFonts w:hint="eastAsia" w:ascii="仿宋" w:hAnsi="仿宋" w:eastAsia="仿宋"/>
          <w:color w:val="000000"/>
          <w:kern w:val="0"/>
        </w:rPr>
        <w:t>“</w:t>
      </w:r>
      <w:r>
        <w:rPr>
          <w:rFonts w:hint="eastAsia" w:ascii="仿宋" w:hAnsi="仿宋" w:eastAsia="仿宋" w:cs="仿宋_GB2312"/>
          <w:color w:val="000000"/>
          <w:kern w:val="0"/>
        </w:rPr>
        <w:t>浙江出口名牌</w:t>
      </w:r>
      <w:r>
        <w:rPr>
          <w:rFonts w:hint="eastAsia" w:ascii="仿宋" w:hAnsi="仿宋" w:eastAsia="仿宋"/>
          <w:color w:val="000000"/>
          <w:kern w:val="0"/>
        </w:rPr>
        <w:t>”</w:t>
      </w:r>
      <w:r>
        <w:rPr>
          <w:rFonts w:hint="eastAsia" w:ascii="仿宋" w:hAnsi="仿宋" w:eastAsia="仿宋" w:cs="仿宋_GB2312"/>
          <w:color w:val="000000"/>
          <w:kern w:val="0"/>
        </w:rPr>
        <w:t>申报表（附件</w:t>
      </w:r>
      <w:r>
        <w:rPr>
          <w:rFonts w:ascii="仿宋" w:hAnsi="仿宋" w:eastAsia="仿宋"/>
          <w:color w:val="000000"/>
          <w:kern w:val="0"/>
        </w:rPr>
        <w:t>5</w:t>
      </w:r>
      <w:r>
        <w:rPr>
          <w:rFonts w:hint="eastAsia" w:ascii="仿宋" w:hAnsi="仿宋" w:eastAsia="仿宋" w:cs="仿宋_GB2312"/>
          <w:color w:val="000000"/>
          <w:kern w:val="0"/>
        </w:rPr>
        <w:t>）；</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（二）</w:t>
      </w:r>
      <w:r>
        <w:rPr>
          <w:rFonts w:ascii="仿宋" w:hAnsi="仿宋" w:eastAsia="仿宋"/>
          <w:color w:val="000000"/>
          <w:kern w:val="0"/>
        </w:rPr>
        <w:t xml:space="preserve"> </w:t>
      </w:r>
      <w:r>
        <w:rPr>
          <w:rFonts w:hint="eastAsia" w:ascii="仿宋" w:hAnsi="仿宋" w:eastAsia="仿宋" w:cs="仿宋_GB2312"/>
          <w:color w:val="000000"/>
          <w:kern w:val="0"/>
        </w:rPr>
        <w:t>经会计师事务所审计的上年度资产负债表、利润表；</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（三）企业法人营业执照及对外贸易经营者备案登记证书（复印件）；</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（四）</w:t>
      </w:r>
      <w:r>
        <w:rPr>
          <w:rFonts w:ascii="仿宋" w:hAnsi="仿宋" w:eastAsia="仿宋"/>
          <w:color w:val="000000"/>
          <w:kern w:val="0"/>
        </w:rPr>
        <w:t xml:space="preserve"> </w:t>
      </w:r>
      <w:r>
        <w:rPr>
          <w:rFonts w:hint="eastAsia" w:ascii="仿宋" w:hAnsi="仿宋" w:eastAsia="仿宋" w:cs="仿宋_GB2312"/>
          <w:color w:val="000000"/>
          <w:kern w:val="0"/>
        </w:rPr>
        <w:t>境内外商标注册证、专利证书、高新技术企业证书；</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（五）</w:t>
      </w:r>
      <w:r>
        <w:rPr>
          <w:rFonts w:ascii="仿宋" w:hAnsi="仿宋" w:eastAsia="仿宋"/>
          <w:color w:val="000000"/>
          <w:kern w:val="0"/>
        </w:rPr>
        <w:t xml:space="preserve"> </w:t>
      </w:r>
      <w:r>
        <w:rPr>
          <w:rFonts w:hint="eastAsia" w:ascii="仿宋" w:hAnsi="仿宋" w:eastAsia="仿宋" w:cs="仿宋_GB2312"/>
          <w:color w:val="000000"/>
          <w:kern w:val="0"/>
        </w:rPr>
        <w:t>获得省级以上科技进步奖、高新技术产品证明材料；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（六）参与国际、国家和行业标准制修订的证明材料；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（七）</w:t>
      </w:r>
      <w:r>
        <w:rPr>
          <w:rFonts w:ascii="仿宋" w:hAnsi="仿宋" w:eastAsia="仿宋"/>
          <w:color w:val="000000"/>
          <w:kern w:val="0"/>
        </w:rPr>
        <w:t xml:space="preserve"> </w:t>
      </w:r>
      <w:r>
        <w:rPr>
          <w:rFonts w:hint="eastAsia" w:ascii="仿宋" w:hAnsi="仿宋" w:eastAsia="仿宋" w:cs="仿宋_GB2312"/>
          <w:color w:val="000000"/>
          <w:kern w:val="0"/>
        </w:rPr>
        <w:t>申报品牌项下商品上年度出口统计表（由企业出具，见附件</w:t>
      </w:r>
      <w:r>
        <w:rPr>
          <w:rFonts w:ascii="仿宋" w:hAnsi="仿宋" w:eastAsia="仿宋"/>
          <w:color w:val="000000"/>
          <w:kern w:val="0"/>
        </w:rPr>
        <w:t>6</w:t>
      </w:r>
      <w:r>
        <w:rPr>
          <w:rFonts w:hint="eastAsia" w:ascii="仿宋" w:hAnsi="仿宋" w:eastAsia="仿宋" w:cs="仿宋_GB2312"/>
          <w:color w:val="000000"/>
          <w:kern w:val="0"/>
        </w:rPr>
        <w:t>）；</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（八）申报类别商品在同行业中的排名情况（如企业选择提供该项内容，需附商务部下属进出口商会出具的排名证明材料）；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（九）通过国际通行的质量管理体系、环境管理体系、职业健康安全管理体系和社会责任标准认证的证明材料；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（十）设立海外营销机构、研发中心、生产基地、跨境电子商务公共海外仓的证明材料（只认可商务主管部门的备案证明）；</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（十一）</w:t>
      </w:r>
      <w:r>
        <w:rPr>
          <w:rFonts w:ascii="仿宋" w:hAnsi="仿宋" w:eastAsia="仿宋"/>
          <w:color w:val="000000"/>
          <w:kern w:val="0"/>
        </w:rPr>
        <w:t xml:space="preserve"> </w:t>
      </w:r>
      <w:r>
        <w:rPr>
          <w:rFonts w:hint="eastAsia" w:ascii="仿宋" w:hAnsi="仿宋" w:eastAsia="仿宋" w:cs="仿宋_GB2312"/>
          <w:color w:val="000000"/>
          <w:kern w:val="0"/>
        </w:rPr>
        <w:t>企业需提供上年度申报品牌（涵盖申报类别商品）广告宣传的合同协议及视频截图、宣传图片、网站地址等证明材料；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（十二）</w:t>
      </w:r>
      <w:r>
        <w:rPr>
          <w:rFonts w:ascii="仿宋" w:hAnsi="仿宋" w:eastAsia="仿宋"/>
          <w:color w:val="000000"/>
          <w:kern w:val="0"/>
        </w:rPr>
        <w:t xml:space="preserve"> </w:t>
      </w:r>
      <w:r>
        <w:rPr>
          <w:rFonts w:hint="eastAsia" w:ascii="仿宋" w:hAnsi="仿宋" w:eastAsia="仿宋" w:cs="仿宋_GB2312"/>
          <w:color w:val="000000"/>
          <w:kern w:val="0"/>
        </w:rPr>
        <w:t>获得省级以上权威机构颁发荣誉称号的证明材料。</w:t>
      </w:r>
    </w:p>
    <w:p>
      <w:pPr>
        <w:ind w:firstLine="632" w:firstLineChars="200"/>
        <w:rPr>
          <w:rFonts w:ascii="仿宋" w:hAnsi="仿宋" w:eastAsia="仿宋"/>
          <w:color w:val="000000"/>
          <w:kern w:val="0"/>
        </w:rPr>
      </w:pPr>
      <w:r>
        <w:rPr>
          <w:rFonts w:hint="eastAsia" w:ascii="仿宋" w:hAnsi="仿宋" w:eastAsia="仿宋" w:cs="仿宋_GB2312"/>
          <w:color w:val="000000"/>
          <w:kern w:val="0"/>
          <w:highlight w:val="yellow"/>
        </w:rPr>
        <w:t>复核企业只需提供上述</w:t>
      </w:r>
      <w:r>
        <w:rPr>
          <w:rFonts w:hint="eastAsia" w:ascii="仿宋" w:hAnsi="仿宋" w:eastAsia="仿宋" w:cs="仿宋_GB2312"/>
          <w:color w:val="000000"/>
          <w:spacing w:val="-8"/>
          <w:kern w:val="0"/>
          <w:highlight w:val="yellow"/>
        </w:rPr>
        <w:t>（一）、（二）、（七）、（九）</w:t>
      </w:r>
      <w:r>
        <w:rPr>
          <w:rFonts w:hint="eastAsia" w:ascii="仿宋" w:hAnsi="仿宋" w:eastAsia="仿宋" w:cs="仿宋_GB2312"/>
          <w:color w:val="000000"/>
          <w:kern w:val="0"/>
          <w:highlight w:val="yellow"/>
        </w:rPr>
        <w:t>项材料，其余各项需提供</w:t>
      </w:r>
      <w:r>
        <w:rPr>
          <w:rFonts w:ascii="仿宋" w:hAnsi="仿宋" w:eastAsia="仿宋"/>
          <w:color w:val="000000"/>
          <w:kern w:val="0"/>
          <w:highlight w:val="yellow"/>
        </w:rPr>
        <w:t>2014</w:t>
      </w:r>
      <w:r>
        <w:rPr>
          <w:rFonts w:hint="eastAsia" w:ascii="仿宋" w:hAnsi="仿宋" w:eastAsia="仿宋" w:cs="仿宋_GB2312"/>
          <w:color w:val="000000"/>
          <w:kern w:val="0"/>
          <w:highlight w:val="yellow"/>
        </w:rPr>
        <w:t>年以后有增加或变动的证明材料。</w:t>
      </w: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spacing w:line="600" w:lineRule="exact"/>
        <w:ind w:right="480"/>
        <w:rPr>
          <w:color w:val="000000"/>
          <w:kern w:val="0"/>
        </w:rPr>
      </w:pPr>
    </w:p>
    <w:p>
      <w:pPr>
        <w:ind w:firstLine="640"/>
        <w:rPr>
          <w:color w:val="000000"/>
          <w:kern w:val="0"/>
        </w:rPr>
      </w:pPr>
    </w:p>
    <w:p>
      <w:pPr>
        <w:ind w:right="482"/>
        <w:rPr>
          <w:rFonts w:eastAsia="黑体"/>
          <w:color w:val="000000"/>
        </w:rPr>
      </w:pPr>
    </w:p>
    <w:p>
      <w:pPr>
        <w:ind w:right="482"/>
        <w:rPr>
          <w:rFonts w:eastAsia="黑体"/>
          <w:color w:val="000000"/>
        </w:rPr>
      </w:pPr>
    </w:p>
    <w:p>
      <w:pPr>
        <w:ind w:right="482"/>
        <w:rPr>
          <w:rFonts w:eastAsia="黑体"/>
          <w:color w:val="000000"/>
        </w:rPr>
      </w:pPr>
    </w:p>
    <w:p>
      <w:pPr>
        <w:ind w:right="482"/>
        <w:rPr>
          <w:rFonts w:eastAsia="黑体"/>
          <w:color w:val="000000"/>
        </w:rPr>
      </w:pPr>
    </w:p>
    <w:p>
      <w:pPr>
        <w:rPr>
          <w:rFonts w:ascii="黑体" w:hAnsi="黑体" w:eastAsia="黑体"/>
          <w:color w:val="000000"/>
        </w:rPr>
      </w:pPr>
      <w:r>
        <w:rPr>
          <w:rFonts w:hint="eastAsia" w:ascii="黑体" w:hAnsi="黑体" w:eastAsia="黑体" w:cs="黑体"/>
          <w:color w:val="000000"/>
        </w:rPr>
        <w:t>附件</w:t>
      </w:r>
      <w:r>
        <w:rPr>
          <w:rFonts w:ascii="黑体" w:hAnsi="黑体" w:eastAsia="黑体" w:cs="黑体"/>
          <w:color w:val="000000"/>
        </w:rPr>
        <w:t>4</w:t>
      </w:r>
    </w:p>
    <w:p>
      <w:pPr>
        <w:autoSpaceDE w:val="0"/>
        <w:autoSpaceDN w:val="0"/>
        <w:jc w:val="center"/>
        <w:rPr>
          <w:rFonts w:ascii="宋体" w:hAnsi="宋体" w:eastAsia="宋体"/>
          <w:b/>
          <w:color w:val="000000"/>
          <w:kern w:val="0"/>
          <w:sz w:val="44"/>
          <w:szCs w:val="44"/>
        </w:rPr>
      </w:pPr>
      <w:r>
        <w:rPr>
          <w:rFonts w:hint="eastAsia" w:ascii="宋体" w:hAnsi="宋体" w:eastAsia="宋体" w:cs="创艺简标宋"/>
          <w:b/>
          <w:color w:val="000000"/>
          <w:kern w:val="0"/>
          <w:sz w:val="44"/>
          <w:szCs w:val="44"/>
        </w:rPr>
        <w:t>“宁波出口名牌”企业申报材料</w:t>
      </w:r>
    </w:p>
    <w:p>
      <w:pPr>
        <w:rPr>
          <w:rFonts w:ascii="仿宋_GB2312"/>
          <w:color w:val="000000"/>
        </w:rPr>
      </w:pP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（一）“宁波出口名牌”申报表（附件</w:t>
      </w:r>
      <w:r>
        <w:rPr>
          <w:rFonts w:ascii="仿宋" w:hAnsi="仿宋" w:eastAsia="仿宋" w:cs="仿宋_GB2312"/>
          <w:color w:val="000000"/>
          <w:kern w:val="0"/>
        </w:rPr>
        <w:t>5</w:t>
      </w:r>
      <w:r>
        <w:rPr>
          <w:rFonts w:hint="eastAsia" w:ascii="仿宋" w:hAnsi="仿宋" w:eastAsia="仿宋" w:cs="仿宋_GB2312"/>
          <w:color w:val="000000"/>
          <w:kern w:val="0"/>
        </w:rPr>
        <w:t>）；</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（二）</w:t>
      </w:r>
      <w:r>
        <w:rPr>
          <w:rFonts w:ascii="仿宋" w:hAnsi="仿宋" w:eastAsia="仿宋" w:cs="仿宋_GB2312"/>
          <w:color w:val="000000"/>
          <w:kern w:val="0"/>
        </w:rPr>
        <w:t xml:space="preserve"> </w:t>
      </w:r>
      <w:r>
        <w:rPr>
          <w:rFonts w:hint="eastAsia" w:ascii="仿宋" w:hAnsi="仿宋" w:eastAsia="仿宋" w:cs="仿宋_GB2312"/>
          <w:color w:val="000000"/>
          <w:kern w:val="0"/>
        </w:rPr>
        <w:t>经会计师事务所审计的上年度资产负债表、利润表；</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（三）企业法人营业执照及对外贸易经营者备案登记证书（复印件）；</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（四）</w:t>
      </w:r>
      <w:r>
        <w:rPr>
          <w:rFonts w:ascii="仿宋" w:hAnsi="仿宋" w:eastAsia="仿宋" w:cs="仿宋_GB2312"/>
          <w:color w:val="000000"/>
          <w:kern w:val="0"/>
        </w:rPr>
        <w:t xml:space="preserve"> </w:t>
      </w:r>
      <w:r>
        <w:rPr>
          <w:rFonts w:hint="eastAsia" w:ascii="仿宋" w:hAnsi="仿宋" w:eastAsia="仿宋" w:cs="仿宋_GB2312"/>
          <w:color w:val="000000"/>
          <w:kern w:val="0"/>
        </w:rPr>
        <w:t>境内外商标注册证、专利证书、高新技术企业证书；</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（五）</w:t>
      </w:r>
      <w:r>
        <w:rPr>
          <w:rFonts w:ascii="仿宋" w:hAnsi="仿宋" w:eastAsia="仿宋" w:cs="仿宋_GB2312"/>
          <w:color w:val="000000"/>
          <w:kern w:val="0"/>
        </w:rPr>
        <w:t xml:space="preserve"> </w:t>
      </w:r>
      <w:r>
        <w:rPr>
          <w:rFonts w:hint="eastAsia" w:ascii="仿宋" w:hAnsi="仿宋" w:eastAsia="仿宋" w:cs="仿宋_GB2312"/>
          <w:color w:val="000000"/>
          <w:kern w:val="0"/>
        </w:rPr>
        <w:t>获得市级以上科技进步奖、高新技术产品证明材料；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（六）参与国际、国家和行业标准制修订的证明材料；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（七）</w:t>
      </w:r>
      <w:r>
        <w:rPr>
          <w:rFonts w:ascii="仿宋" w:hAnsi="仿宋" w:eastAsia="仿宋" w:cs="仿宋_GB2312"/>
          <w:color w:val="000000"/>
          <w:kern w:val="0"/>
        </w:rPr>
        <w:t xml:space="preserve"> </w:t>
      </w:r>
      <w:r>
        <w:rPr>
          <w:rFonts w:hint="eastAsia" w:ascii="仿宋" w:hAnsi="仿宋" w:eastAsia="仿宋" w:cs="仿宋_GB2312"/>
          <w:color w:val="000000"/>
          <w:kern w:val="0"/>
        </w:rPr>
        <w:t>申报品牌项下商品上年度出口统计表（由企业出具，见附件</w:t>
      </w:r>
      <w:r>
        <w:rPr>
          <w:rFonts w:ascii="仿宋" w:hAnsi="仿宋" w:eastAsia="仿宋" w:cs="仿宋_GB2312"/>
          <w:color w:val="000000"/>
          <w:kern w:val="0"/>
        </w:rPr>
        <w:t>6</w:t>
      </w:r>
      <w:r>
        <w:rPr>
          <w:rFonts w:hint="eastAsia" w:ascii="仿宋" w:hAnsi="仿宋" w:eastAsia="仿宋" w:cs="仿宋_GB2312"/>
          <w:color w:val="000000"/>
          <w:kern w:val="0"/>
        </w:rPr>
        <w:t>）；上年度出口额不低于</w:t>
      </w:r>
      <w:r>
        <w:rPr>
          <w:rFonts w:ascii="仿宋" w:hAnsi="仿宋" w:eastAsia="仿宋" w:cs="仿宋_GB2312"/>
          <w:color w:val="000000"/>
          <w:kern w:val="0"/>
        </w:rPr>
        <w:t>500</w:t>
      </w:r>
      <w:r>
        <w:rPr>
          <w:rFonts w:hint="eastAsia" w:ascii="仿宋" w:hAnsi="仿宋" w:eastAsia="仿宋" w:cs="仿宋_GB2312"/>
          <w:color w:val="000000"/>
          <w:kern w:val="0"/>
        </w:rPr>
        <w:t>万美元，农副产品出口额不低于</w:t>
      </w:r>
      <w:r>
        <w:rPr>
          <w:rFonts w:ascii="仿宋" w:hAnsi="仿宋" w:eastAsia="仿宋" w:cs="仿宋_GB2312"/>
          <w:color w:val="000000"/>
          <w:kern w:val="0"/>
        </w:rPr>
        <w:t>250</w:t>
      </w:r>
      <w:r>
        <w:rPr>
          <w:rFonts w:hint="eastAsia" w:ascii="仿宋" w:hAnsi="仿宋" w:eastAsia="仿宋" w:cs="仿宋_GB2312"/>
          <w:color w:val="000000"/>
          <w:kern w:val="0"/>
        </w:rPr>
        <w:t>万美元，自有品牌出口额占</w:t>
      </w:r>
      <w:r>
        <w:rPr>
          <w:rFonts w:ascii="仿宋" w:hAnsi="仿宋" w:eastAsia="仿宋" w:cs="仿宋_GB2312"/>
          <w:color w:val="000000"/>
          <w:kern w:val="0"/>
        </w:rPr>
        <w:t>60</w:t>
      </w:r>
      <w:r>
        <w:rPr>
          <w:rFonts w:hint="eastAsia" w:ascii="仿宋" w:hAnsi="仿宋" w:eastAsia="仿宋" w:cs="仿宋_GB2312"/>
          <w:color w:val="000000"/>
          <w:kern w:val="0"/>
        </w:rPr>
        <w:t>％以上的企业还需提供能够证明企业自有品牌出口额占比的</w:t>
      </w:r>
      <w:r>
        <w:rPr>
          <w:rFonts w:hint="eastAsia" w:ascii="仿宋" w:hAnsi="仿宋" w:eastAsia="仿宋" w:cs="仿宋_GB2312"/>
        </w:rPr>
        <w:t>自主品牌商品的出口合同和海关报关单复印件等相关证明材料。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（八）申报类别商品在同行业中的排名情况（如企业选择提供该项内容，需附商务部下属进出口商会出具的排名证明材料）；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（九）通过国际通行的质量管理体系、环境管理体系、职业健康安全管理体系和社会责任标准认证的证明材料；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（十）设立海外营销机构、研发中心、生产基地、跨境电子商务公共海外仓的证明材料（只认可商务主管部门的备案证明）；</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（十一）</w:t>
      </w:r>
      <w:r>
        <w:rPr>
          <w:rFonts w:ascii="仿宋" w:hAnsi="仿宋" w:eastAsia="仿宋" w:cs="仿宋_GB2312"/>
          <w:color w:val="000000"/>
          <w:kern w:val="0"/>
        </w:rPr>
        <w:t xml:space="preserve"> </w:t>
      </w:r>
      <w:r>
        <w:rPr>
          <w:rFonts w:hint="eastAsia" w:ascii="仿宋" w:hAnsi="仿宋" w:eastAsia="仿宋" w:cs="仿宋_GB2312"/>
          <w:color w:val="000000"/>
          <w:kern w:val="0"/>
        </w:rPr>
        <w:t>企业需提供上年度申报品牌（涵盖申报类别商品）广告宣传的合同协议及视频截图、宣传图片、网站地址等证明材料；</w:t>
      </w:r>
    </w:p>
    <w:p>
      <w:pPr>
        <w:autoSpaceDE w:val="0"/>
        <w:autoSpaceDN w:val="0"/>
        <w:ind w:firstLine="632" w:firstLineChars="200"/>
        <w:rPr>
          <w:rFonts w:ascii="仿宋" w:hAnsi="仿宋" w:eastAsia="仿宋"/>
          <w:color w:val="000000"/>
          <w:kern w:val="0"/>
        </w:rPr>
      </w:pPr>
      <w:r>
        <w:rPr>
          <w:rFonts w:hint="eastAsia" w:ascii="仿宋" w:hAnsi="仿宋" w:eastAsia="仿宋" w:cs="仿宋_GB2312"/>
          <w:color w:val="000000"/>
          <w:kern w:val="0"/>
        </w:rPr>
        <w:t>（十二）</w:t>
      </w:r>
      <w:r>
        <w:rPr>
          <w:rFonts w:ascii="仿宋" w:hAnsi="仿宋" w:eastAsia="仿宋" w:cs="仿宋_GB2312"/>
          <w:color w:val="000000"/>
          <w:kern w:val="0"/>
        </w:rPr>
        <w:t xml:space="preserve"> </w:t>
      </w:r>
      <w:r>
        <w:rPr>
          <w:rFonts w:hint="eastAsia" w:ascii="仿宋" w:hAnsi="仿宋" w:eastAsia="仿宋" w:cs="仿宋_GB2312"/>
          <w:color w:val="000000"/>
          <w:kern w:val="0"/>
        </w:rPr>
        <w:t>获得市级以上权威机构颁发荣誉称号的证明材料。</w:t>
      </w:r>
    </w:p>
    <w:p>
      <w:pPr>
        <w:ind w:firstLine="632" w:firstLineChars="200"/>
        <w:rPr>
          <w:rFonts w:ascii="仿宋" w:hAnsi="仿宋" w:eastAsia="仿宋"/>
          <w:color w:val="000000"/>
          <w:kern w:val="0"/>
        </w:rPr>
      </w:pPr>
      <w:r>
        <w:rPr>
          <w:rFonts w:hint="eastAsia" w:ascii="仿宋" w:hAnsi="仿宋" w:eastAsia="仿宋" w:cs="仿宋_GB2312"/>
          <w:color w:val="000000"/>
          <w:kern w:val="0"/>
          <w:highlight w:val="yellow"/>
        </w:rPr>
        <w:t>复核企业只需提供上述</w:t>
      </w:r>
      <w:r>
        <w:rPr>
          <w:rFonts w:hint="eastAsia" w:ascii="仿宋" w:hAnsi="仿宋" w:eastAsia="仿宋" w:cs="仿宋_GB2312"/>
          <w:color w:val="000000"/>
          <w:spacing w:val="-8"/>
          <w:kern w:val="0"/>
          <w:highlight w:val="yellow"/>
        </w:rPr>
        <w:t>（一）、（二）、（七）、（九）</w:t>
      </w:r>
      <w:r>
        <w:rPr>
          <w:rFonts w:hint="eastAsia" w:ascii="仿宋" w:hAnsi="仿宋" w:eastAsia="仿宋" w:cs="仿宋_GB2312"/>
          <w:color w:val="000000"/>
          <w:kern w:val="0"/>
          <w:highlight w:val="yellow"/>
        </w:rPr>
        <w:t>项材料，其余各项需提供</w:t>
      </w:r>
      <w:r>
        <w:rPr>
          <w:rFonts w:ascii="仿宋" w:hAnsi="仿宋" w:eastAsia="仿宋" w:cs="仿宋_GB2312"/>
          <w:color w:val="000000"/>
          <w:kern w:val="0"/>
          <w:highlight w:val="yellow"/>
        </w:rPr>
        <w:t>2014</w:t>
      </w:r>
      <w:r>
        <w:rPr>
          <w:rFonts w:hint="eastAsia" w:ascii="仿宋" w:hAnsi="仿宋" w:eastAsia="仿宋" w:cs="仿宋_GB2312"/>
          <w:color w:val="000000"/>
          <w:kern w:val="0"/>
          <w:highlight w:val="yellow"/>
        </w:rPr>
        <w:t>年以后有增加或变动的证明材料。</w:t>
      </w:r>
    </w:p>
    <w:p>
      <w:pPr>
        <w:rPr>
          <w:rFonts w:ascii="仿宋_GB2312"/>
          <w:color w:val="000000"/>
          <w:kern w:val="0"/>
        </w:rPr>
      </w:pPr>
    </w:p>
    <w:p>
      <w:pPr>
        <w:autoSpaceDE w:val="0"/>
        <w:autoSpaceDN w:val="0"/>
        <w:ind w:firstLine="632" w:firstLineChars="200"/>
        <w:rPr>
          <w:rFonts w:ascii="仿宋_GB2312"/>
          <w:color w:val="000000"/>
          <w:kern w:val="0"/>
        </w:rPr>
      </w:pPr>
    </w:p>
    <w:p>
      <w:pPr>
        <w:autoSpaceDE w:val="0"/>
        <w:autoSpaceDN w:val="0"/>
        <w:ind w:firstLine="632" w:firstLineChars="200"/>
        <w:rPr>
          <w:rFonts w:ascii="仿宋_GB2312"/>
          <w:color w:val="000000"/>
          <w:kern w:val="0"/>
        </w:rPr>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rPr>
          <w:rFonts w:ascii="黑体" w:hAnsi="黑体" w:eastAsia="黑体" w:cs="黑体"/>
          <w:color w:val="000000"/>
        </w:rPr>
      </w:pPr>
      <w:r>
        <w:rPr>
          <w:rFonts w:hint="eastAsia" w:ascii="黑体" w:hAnsi="黑体" w:eastAsia="黑体" w:cs="黑体"/>
          <w:color w:val="000000"/>
        </w:rPr>
        <w:t>附件</w:t>
      </w:r>
      <w:r>
        <w:rPr>
          <w:rFonts w:ascii="黑体" w:hAnsi="黑体" w:eastAsia="黑体" w:cs="黑体"/>
          <w:color w:val="000000"/>
        </w:rPr>
        <w:t>5</w:t>
      </w:r>
    </w:p>
    <w:p>
      <w:pPr>
        <w:jc w:val="center"/>
        <w:rPr>
          <w:rFonts w:ascii="创艺简标宋" w:eastAsia="创艺简标宋"/>
          <w:color w:val="000000"/>
          <w:sz w:val="36"/>
          <w:szCs w:val="36"/>
        </w:rPr>
      </w:pPr>
      <w:r>
        <w:rPr>
          <w:rFonts w:hint="eastAsia" w:ascii="创艺简标宋" w:hAnsi="宋体" w:eastAsia="创艺简标宋" w:cs="创艺简标宋"/>
          <w:color w:val="000000"/>
          <w:kern w:val="0"/>
          <w:sz w:val="36"/>
          <w:szCs w:val="36"/>
        </w:rPr>
        <w:t>“</w:t>
      </w:r>
      <w:r>
        <w:rPr>
          <w:rFonts w:ascii="创艺简标宋" w:hAnsi="宋体" w:eastAsia="创艺简标宋" w:cs="创艺简标宋"/>
          <w:color w:val="000000"/>
          <w:kern w:val="0"/>
          <w:sz w:val="36"/>
          <w:szCs w:val="36"/>
          <w:u w:val="single"/>
        </w:rPr>
        <w:t xml:space="preserve">      </w:t>
      </w:r>
      <w:r>
        <w:rPr>
          <w:rFonts w:hint="eastAsia" w:ascii="创艺简标宋" w:hAnsi="宋体" w:eastAsia="创艺简标宋" w:cs="创艺简标宋"/>
          <w:color w:val="000000"/>
          <w:kern w:val="0"/>
          <w:sz w:val="36"/>
          <w:szCs w:val="36"/>
        </w:rPr>
        <w:t>出口名牌”申报表</w:t>
      </w:r>
    </w:p>
    <w:tbl>
      <w:tblPr>
        <w:tblStyle w:val="11"/>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981"/>
        <w:gridCol w:w="1081"/>
        <w:gridCol w:w="137"/>
        <w:gridCol w:w="1177"/>
        <w:gridCol w:w="246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restart"/>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资</w:t>
            </w:r>
          </w:p>
          <w:p>
            <w:pPr>
              <w:spacing w:line="360" w:lineRule="exact"/>
              <w:jc w:val="center"/>
              <w:rPr>
                <w:rFonts w:ascii="宋体" w:hAnsi="宋体" w:eastAsia="宋体"/>
                <w:b/>
                <w:bCs/>
                <w:color w:val="000000"/>
                <w:sz w:val="21"/>
                <w:szCs w:val="21"/>
              </w:rPr>
            </w:pPr>
          </w:p>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格</w:t>
            </w:r>
          </w:p>
          <w:p>
            <w:pPr>
              <w:spacing w:line="360" w:lineRule="exact"/>
              <w:jc w:val="center"/>
              <w:rPr>
                <w:rFonts w:ascii="宋体" w:hAnsi="宋体" w:eastAsia="宋体"/>
                <w:b/>
                <w:bCs/>
                <w:color w:val="000000"/>
                <w:sz w:val="21"/>
                <w:szCs w:val="21"/>
              </w:rPr>
            </w:pPr>
          </w:p>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条</w:t>
            </w:r>
          </w:p>
          <w:p>
            <w:pPr>
              <w:spacing w:line="360" w:lineRule="exact"/>
              <w:jc w:val="center"/>
              <w:rPr>
                <w:rFonts w:ascii="宋体" w:hAnsi="宋体" w:eastAsia="宋体"/>
                <w:b/>
                <w:bCs/>
                <w:color w:val="000000"/>
                <w:sz w:val="21"/>
                <w:szCs w:val="21"/>
              </w:rPr>
            </w:pPr>
          </w:p>
          <w:p>
            <w:pPr>
              <w:spacing w:line="360" w:lineRule="exact"/>
              <w:jc w:val="center"/>
              <w:rPr>
                <w:rFonts w:ascii="宋体" w:hAnsi="宋体" w:eastAsia="宋体"/>
                <w:color w:val="000000"/>
                <w:sz w:val="21"/>
                <w:szCs w:val="21"/>
              </w:rPr>
            </w:pPr>
            <w:r>
              <w:rPr>
                <w:rFonts w:hint="eastAsia" w:ascii="宋体" w:hAnsi="宋体" w:eastAsia="宋体" w:cs="宋体"/>
                <w:b/>
                <w:bCs/>
                <w:color w:val="000000"/>
                <w:sz w:val="21"/>
                <w:szCs w:val="21"/>
              </w:rPr>
              <w:t>件</w:t>
            </w:r>
          </w:p>
        </w:tc>
        <w:tc>
          <w:tcPr>
            <w:tcW w:w="1981" w:type="dxa"/>
            <w:vMerge w:val="restart"/>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企业名称</w:t>
            </w: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（中文）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continue"/>
            <w:vAlign w:val="center"/>
          </w:tcPr>
          <w:p>
            <w:pPr>
              <w:widowControl/>
              <w:jc w:val="left"/>
              <w:rPr>
                <w:rFonts w:ascii="宋体" w:hAnsi="宋体" w:eastAsia="宋体"/>
                <w:b/>
                <w:bCs/>
                <w:color w:val="000000"/>
                <w:sz w:val="21"/>
                <w:szCs w:val="21"/>
              </w:rPr>
            </w:pP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（英文）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restart"/>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注册地址</w:t>
            </w: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（中文）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continue"/>
            <w:vAlign w:val="center"/>
          </w:tcPr>
          <w:p>
            <w:pPr>
              <w:widowControl/>
              <w:jc w:val="left"/>
              <w:rPr>
                <w:rFonts w:ascii="宋体" w:hAnsi="宋体" w:eastAsia="宋体"/>
                <w:b/>
                <w:bCs/>
                <w:color w:val="000000"/>
                <w:sz w:val="21"/>
                <w:szCs w:val="21"/>
              </w:rPr>
            </w:pP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（英文）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restart"/>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申报品牌名称</w:t>
            </w: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（中文）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continue"/>
            <w:vAlign w:val="center"/>
          </w:tcPr>
          <w:p>
            <w:pPr>
              <w:widowControl/>
              <w:jc w:val="left"/>
              <w:rPr>
                <w:rFonts w:ascii="宋体" w:hAnsi="宋体" w:eastAsia="宋体"/>
                <w:b/>
                <w:bCs/>
                <w:color w:val="000000"/>
                <w:sz w:val="21"/>
                <w:szCs w:val="21"/>
              </w:rPr>
            </w:pP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（英文）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restart"/>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主要出口商品</w:t>
            </w: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（中文）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Merge w:val="continue"/>
            <w:vAlign w:val="center"/>
          </w:tcPr>
          <w:p>
            <w:pPr>
              <w:widowControl/>
              <w:jc w:val="left"/>
              <w:rPr>
                <w:rFonts w:ascii="宋体" w:hAnsi="宋体" w:eastAsia="宋体"/>
                <w:b/>
                <w:bCs/>
                <w:color w:val="000000"/>
                <w:sz w:val="21"/>
                <w:szCs w:val="21"/>
              </w:rPr>
            </w:pPr>
          </w:p>
        </w:tc>
        <w:tc>
          <w:tcPr>
            <w:tcW w:w="1218" w:type="dxa"/>
            <w:gridSpan w:val="2"/>
            <w:vAlign w:val="center"/>
          </w:tcPr>
          <w:p>
            <w:pPr>
              <w:spacing w:line="360" w:lineRule="exact"/>
              <w:rPr>
                <w:rFonts w:ascii="宋体" w:hAnsi="宋体" w:eastAsia="宋体"/>
                <w:color w:val="000000"/>
                <w:position w:val="4"/>
                <w:sz w:val="21"/>
                <w:szCs w:val="21"/>
              </w:rPr>
            </w:pPr>
            <w:r>
              <w:rPr>
                <w:rFonts w:hint="eastAsia" w:ascii="宋体" w:hAnsi="宋体" w:eastAsia="宋体" w:cs="宋体"/>
                <w:color w:val="000000"/>
                <w:position w:val="4"/>
                <w:sz w:val="21"/>
                <w:szCs w:val="21"/>
              </w:rPr>
              <w:t>（英文）</w:t>
            </w:r>
          </w:p>
        </w:tc>
        <w:tc>
          <w:tcPr>
            <w:tcW w:w="5783" w:type="dxa"/>
            <w:gridSpan w:val="3"/>
            <w:vAlign w:val="center"/>
          </w:tcPr>
          <w:p>
            <w:pPr>
              <w:spacing w:line="360" w:lineRule="exact"/>
              <w:rPr>
                <w:rFonts w:ascii="宋体" w:hAnsi="宋体" w:eastAsia="宋体"/>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36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申报商品类别</w:t>
            </w:r>
          </w:p>
        </w:tc>
        <w:tc>
          <w:tcPr>
            <w:tcW w:w="7001" w:type="dxa"/>
            <w:gridSpan w:val="5"/>
            <w:vAlign w:val="center"/>
          </w:tcPr>
          <w:p>
            <w:pPr>
              <w:spacing w:line="300" w:lineRule="exact"/>
              <w:rPr>
                <w:rFonts w:ascii="宋体" w:hAnsi="宋体" w:eastAsia="宋体" w:cs="宋体"/>
                <w:color w:val="000000"/>
                <w:sz w:val="21"/>
                <w:szCs w:val="21"/>
              </w:rPr>
            </w:pPr>
            <w:r>
              <w:rPr>
                <w:rFonts w:hint="eastAsia" w:ascii="宋体" w:hAnsi="宋体" w:eastAsia="宋体" w:cs="宋体"/>
                <w:color w:val="000000"/>
                <w:sz w:val="21"/>
                <w:szCs w:val="21"/>
              </w:rPr>
              <w:t>纺织服装□</w:t>
            </w:r>
            <w:r>
              <w:rPr>
                <w:rFonts w:ascii="宋体" w:hAnsi="宋体" w:eastAsia="宋体" w:cs="宋体"/>
                <w:color w:val="000000"/>
                <w:sz w:val="21"/>
                <w:szCs w:val="21"/>
              </w:rPr>
              <w:t xml:space="preserve">  </w:t>
            </w:r>
            <w:r>
              <w:rPr>
                <w:rFonts w:hint="eastAsia" w:ascii="宋体" w:hAnsi="宋体" w:eastAsia="宋体" w:cs="宋体"/>
                <w:color w:val="000000"/>
                <w:sz w:val="21"/>
                <w:szCs w:val="21"/>
              </w:rPr>
              <w:t>机械电子□</w:t>
            </w:r>
            <w:r>
              <w:rPr>
                <w:rFonts w:ascii="宋体" w:hAnsi="宋体" w:eastAsia="宋体" w:cs="宋体"/>
                <w:color w:val="000000"/>
                <w:sz w:val="21"/>
                <w:szCs w:val="21"/>
              </w:rPr>
              <w:t xml:space="preserve">   </w:t>
            </w:r>
            <w:r>
              <w:rPr>
                <w:rFonts w:hint="eastAsia" w:ascii="宋体" w:hAnsi="宋体" w:eastAsia="宋体" w:cs="宋体"/>
                <w:color w:val="000000"/>
                <w:sz w:val="21"/>
                <w:szCs w:val="21"/>
              </w:rPr>
              <w:t>轻工工艺□</w:t>
            </w:r>
            <w:r>
              <w:rPr>
                <w:rFonts w:ascii="宋体" w:hAnsi="宋体" w:eastAsia="宋体" w:cs="宋体"/>
                <w:color w:val="000000"/>
                <w:sz w:val="21"/>
                <w:szCs w:val="21"/>
              </w:rPr>
              <w:t xml:space="preserve">   </w:t>
            </w:r>
            <w:r>
              <w:rPr>
                <w:rFonts w:hint="eastAsia" w:ascii="宋体" w:hAnsi="宋体" w:eastAsia="宋体" w:cs="宋体"/>
                <w:color w:val="000000"/>
                <w:sz w:val="21"/>
                <w:szCs w:val="21"/>
              </w:rPr>
              <w:t>建材冶金□</w:t>
            </w:r>
            <w:r>
              <w:rPr>
                <w:rFonts w:ascii="宋体" w:hAnsi="宋体" w:eastAsia="宋体" w:cs="宋体"/>
                <w:color w:val="000000"/>
                <w:sz w:val="21"/>
                <w:szCs w:val="21"/>
              </w:rPr>
              <w:t xml:space="preserve">  </w:t>
            </w:r>
          </w:p>
          <w:p>
            <w:pPr>
              <w:spacing w:line="300" w:lineRule="exact"/>
              <w:rPr>
                <w:rFonts w:ascii="宋体" w:hAnsi="宋体" w:eastAsia="宋体" w:cs="宋体"/>
                <w:color w:val="000000"/>
                <w:sz w:val="21"/>
                <w:szCs w:val="21"/>
              </w:rPr>
            </w:pPr>
            <w:r>
              <w:rPr>
                <w:rFonts w:hint="eastAsia" w:ascii="宋体" w:hAnsi="宋体" w:eastAsia="宋体" w:cs="宋体"/>
                <w:color w:val="000000"/>
                <w:sz w:val="21"/>
                <w:szCs w:val="21"/>
              </w:rPr>
              <w:t>化工医药□</w:t>
            </w:r>
            <w:r>
              <w:rPr>
                <w:rFonts w:ascii="宋体" w:hAnsi="宋体" w:eastAsia="宋体" w:cs="宋体"/>
                <w:color w:val="000000"/>
                <w:sz w:val="21"/>
                <w:szCs w:val="21"/>
              </w:rPr>
              <w:t xml:space="preserve">  </w:t>
            </w:r>
            <w:r>
              <w:rPr>
                <w:rFonts w:hint="eastAsia" w:ascii="宋体" w:hAnsi="宋体" w:eastAsia="宋体" w:cs="宋体"/>
                <w:color w:val="000000"/>
                <w:sz w:val="21"/>
                <w:szCs w:val="21"/>
              </w:rPr>
              <w:t>农副产品□</w:t>
            </w:r>
            <w:r>
              <w:rPr>
                <w:rFonts w:ascii="宋体" w:hAnsi="宋体" w:eastAsia="宋体" w:cs="宋体"/>
                <w:color w:val="000000"/>
                <w:sz w:val="21"/>
                <w:szCs w:val="21"/>
              </w:rPr>
              <w:t xml:space="preserve">   </w:t>
            </w:r>
            <w:r>
              <w:rPr>
                <w:rFonts w:hint="eastAsia" w:ascii="宋体" w:hAnsi="宋体" w:eastAsia="宋体" w:cs="宋体"/>
                <w:color w:val="000000"/>
                <w:sz w:val="21"/>
                <w:szCs w:val="21"/>
              </w:rPr>
              <w:t>综</w:t>
            </w:r>
            <w:r>
              <w:rPr>
                <w:rFonts w:ascii="宋体" w:hAnsi="宋体" w:eastAsia="宋体" w:cs="宋体"/>
                <w:color w:val="000000"/>
                <w:sz w:val="21"/>
                <w:szCs w:val="21"/>
              </w:rPr>
              <w:t xml:space="preserve"> </w:t>
            </w:r>
            <w:r>
              <w:rPr>
                <w:rFonts w:hint="eastAsia" w:ascii="宋体" w:hAnsi="宋体" w:eastAsia="宋体" w:cs="宋体"/>
                <w:color w:val="000000"/>
                <w:sz w:val="21"/>
                <w:szCs w:val="21"/>
              </w:rPr>
              <w:t>合</w:t>
            </w:r>
            <w:r>
              <w:rPr>
                <w:rFonts w:ascii="宋体" w:hAnsi="宋体" w:eastAsia="宋体" w:cs="宋体"/>
                <w:color w:val="000000"/>
                <w:sz w:val="21"/>
                <w:szCs w:val="21"/>
              </w:rPr>
              <w:t xml:space="preserve"> </w:t>
            </w:r>
            <w:r>
              <w:rPr>
                <w:rFonts w:hint="eastAsia" w:ascii="宋体" w:hAnsi="宋体" w:eastAsia="宋体" w:cs="宋体"/>
                <w:color w:val="000000"/>
                <w:sz w:val="21"/>
                <w:szCs w:val="21"/>
              </w:rPr>
              <w:t>类□</w:t>
            </w:r>
            <w:r>
              <w:rPr>
                <w:rFonts w:ascii="宋体" w:hAnsi="宋体" w:eastAsia="宋体" w:cs="宋体"/>
                <w:color w:val="000000"/>
                <w:sz w:val="21"/>
                <w:szCs w:val="21"/>
              </w:rPr>
              <w:t xml:space="preserve"> (</w:t>
            </w:r>
            <w:r>
              <w:rPr>
                <w:rFonts w:hint="eastAsia" w:ascii="宋体" w:hAnsi="宋体" w:eastAsia="宋体" w:cs="宋体"/>
                <w:color w:val="000000"/>
                <w:sz w:val="21"/>
                <w:szCs w:val="21"/>
              </w:rPr>
              <w:t>在相应选项上打钩</w:t>
            </w:r>
            <w:r>
              <w:rPr>
                <w:rFonts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统一社会信用代码或组织机构代码</w:t>
            </w:r>
          </w:p>
        </w:tc>
        <w:tc>
          <w:tcPr>
            <w:tcW w:w="2395" w:type="dxa"/>
            <w:gridSpan w:val="3"/>
            <w:vAlign w:val="center"/>
          </w:tcPr>
          <w:p>
            <w:pPr>
              <w:spacing w:line="280" w:lineRule="exact"/>
              <w:rPr>
                <w:rFonts w:ascii="宋体" w:hAnsi="宋体" w:eastAsia="宋体"/>
                <w:color w:val="000000"/>
                <w:sz w:val="21"/>
                <w:szCs w:val="21"/>
              </w:rPr>
            </w:pPr>
          </w:p>
        </w:tc>
        <w:tc>
          <w:tcPr>
            <w:tcW w:w="2468" w:type="dxa"/>
            <w:vAlign w:val="center"/>
          </w:tcPr>
          <w:p>
            <w:pPr>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海关编码（</w:t>
            </w:r>
            <w:r>
              <w:rPr>
                <w:rFonts w:ascii="宋体" w:hAnsi="宋体" w:eastAsia="宋体" w:cs="宋体"/>
                <w:b/>
                <w:bCs/>
                <w:color w:val="000000"/>
                <w:sz w:val="21"/>
                <w:szCs w:val="21"/>
              </w:rPr>
              <w:t>10</w:t>
            </w:r>
            <w:r>
              <w:rPr>
                <w:rFonts w:hint="eastAsia" w:ascii="宋体" w:hAnsi="宋体" w:eastAsia="宋体" w:cs="宋体"/>
                <w:b/>
                <w:bCs/>
                <w:color w:val="000000"/>
                <w:sz w:val="21"/>
                <w:szCs w:val="21"/>
              </w:rPr>
              <w:t>位；如有多个请填全；</w:t>
            </w:r>
            <w:r>
              <w:rPr>
                <w:rFonts w:ascii="宋体" w:hAnsi="宋体" w:eastAsia="宋体" w:cs="宋体"/>
                <w:b/>
                <w:bCs/>
                <w:color w:val="000000"/>
                <w:sz w:val="21"/>
                <w:szCs w:val="21"/>
              </w:rPr>
              <w:t>2014-2016</w:t>
            </w:r>
            <w:r>
              <w:rPr>
                <w:rFonts w:hint="eastAsia" w:ascii="宋体" w:hAnsi="宋体" w:eastAsia="宋体" w:cs="宋体"/>
                <w:b/>
                <w:bCs/>
                <w:color w:val="000000"/>
                <w:sz w:val="21"/>
                <w:szCs w:val="21"/>
              </w:rPr>
              <w:t>年期间，企业海关编码有变更的也请注明；含控股子公司的，请同时列明控股子公司名称及海关代码）</w:t>
            </w:r>
          </w:p>
        </w:tc>
        <w:tc>
          <w:tcPr>
            <w:tcW w:w="2138" w:type="dxa"/>
            <w:vAlign w:val="center"/>
          </w:tcPr>
          <w:p>
            <w:pPr>
              <w:spacing w:line="360" w:lineRule="exac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法定代表人</w:t>
            </w:r>
          </w:p>
        </w:tc>
        <w:tc>
          <w:tcPr>
            <w:tcW w:w="2395" w:type="dxa"/>
            <w:gridSpan w:val="3"/>
            <w:vAlign w:val="center"/>
          </w:tcPr>
          <w:p>
            <w:pPr>
              <w:spacing w:line="280" w:lineRule="exact"/>
              <w:rPr>
                <w:rFonts w:ascii="宋体" w:hAnsi="宋体" w:eastAsia="宋体"/>
                <w:color w:val="000000"/>
                <w:sz w:val="21"/>
                <w:szCs w:val="21"/>
              </w:rPr>
            </w:pPr>
          </w:p>
        </w:tc>
        <w:tc>
          <w:tcPr>
            <w:tcW w:w="2468" w:type="dxa"/>
            <w:vAlign w:val="center"/>
          </w:tcPr>
          <w:p>
            <w:pPr>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联系电话</w:t>
            </w:r>
          </w:p>
        </w:tc>
        <w:tc>
          <w:tcPr>
            <w:tcW w:w="2138" w:type="dxa"/>
            <w:vAlign w:val="center"/>
          </w:tcPr>
          <w:p>
            <w:pPr>
              <w:spacing w:line="360" w:lineRule="exac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联系人</w:t>
            </w:r>
          </w:p>
        </w:tc>
        <w:tc>
          <w:tcPr>
            <w:tcW w:w="2395" w:type="dxa"/>
            <w:gridSpan w:val="3"/>
            <w:vAlign w:val="center"/>
          </w:tcPr>
          <w:p>
            <w:pPr>
              <w:spacing w:line="360" w:lineRule="exact"/>
              <w:jc w:val="center"/>
              <w:rPr>
                <w:rFonts w:ascii="宋体" w:hAnsi="宋体" w:eastAsia="宋体"/>
                <w:b/>
                <w:bCs/>
                <w:color w:val="000000"/>
                <w:position w:val="4"/>
                <w:sz w:val="21"/>
                <w:szCs w:val="21"/>
              </w:rPr>
            </w:pPr>
          </w:p>
        </w:tc>
        <w:tc>
          <w:tcPr>
            <w:tcW w:w="2468"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联系电话及手机</w:t>
            </w:r>
          </w:p>
        </w:tc>
        <w:tc>
          <w:tcPr>
            <w:tcW w:w="2138" w:type="dxa"/>
            <w:vAlign w:val="center"/>
          </w:tcPr>
          <w:p>
            <w:pPr>
              <w:spacing w:line="360" w:lineRule="exact"/>
              <w:jc w:val="center"/>
              <w:rPr>
                <w:rFonts w:ascii="宋体" w:hAnsi="宋体" w:eastAsia="宋体"/>
                <w:b/>
                <w:bCs/>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电子信箱</w:t>
            </w:r>
          </w:p>
        </w:tc>
        <w:tc>
          <w:tcPr>
            <w:tcW w:w="2395" w:type="dxa"/>
            <w:gridSpan w:val="3"/>
            <w:vAlign w:val="center"/>
          </w:tcPr>
          <w:p>
            <w:pPr>
              <w:spacing w:line="360" w:lineRule="exact"/>
              <w:jc w:val="center"/>
              <w:rPr>
                <w:rFonts w:ascii="宋体" w:hAnsi="宋体" w:eastAsia="宋体"/>
                <w:b/>
                <w:bCs/>
                <w:color w:val="000000"/>
                <w:position w:val="4"/>
                <w:sz w:val="21"/>
                <w:szCs w:val="21"/>
              </w:rPr>
            </w:pPr>
          </w:p>
        </w:tc>
        <w:tc>
          <w:tcPr>
            <w:tcW w:w="2468"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传真</w:t>
            </w:r>
          </w:p>
        </w:tc>
        <w:tc>
          <w:tcPr>
            <w:tcW w:w="2138" w:type="dxa"/>
            <w:vAlign w:val="center"/>
          </w:tcPr>
          <w:p>
            <w:pPr>
              <w:spacing w:line="360" w:lineRule="exact"/>
              <w:jc w:val="center"/>
              <w:rPr>
                <w:rFonts w:ascii="宋体" w:hAnsi="宋体" w:eastAsia="宋体"/>
                <w:b/>
                <w:bCs/>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企业网址</w:t>
            </w:r>
          </w:p>
        </w:tc>
        <w:tc>
          <w:tcPr>
            <w:tcW w:w="2395" w:type="dxa"/>
            <w:gridSpan w:val="3"/>
            <w:vAlign w:val="center"/>
          </w:tcPr>
          <w:p>
            <w:pPr>
              <w:spacing w:line="360" w:lineRule="exact"/>
              <w:jc w:val="center"/>
              <w:rPr>
                <w:rFonts w:ascii="宋体" w:hAnsi="宋体" w:eastAsia="宋体"/>
                <w:b/>
                <w:bCs/>
                <w:color w:val="000000"/>
                <w:position w:val="4"/>
                <w:sz w:val="21"/>
                <w:szCs w:val="21"/>
              </w:rPr>
            </w:pPr>
          </w:p>
        </w:tc>
        <w:tc>
          <w:tcPr>
            <w:tcW w:w="2468" w:type="dxa"/>
            <w:vAlign w:val="center"/>
          </w:tcPr>
          <w:p>
            <w:pPr>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邮政编码</w:t>
            </w:r>
          </w:p>
        </w:tc>
        <w:tc>
          <w:tcPr>
            <w:tcW w:w="2138" w:type="dxa"/>
            <w:vAlign w:val="center"/>
          </w:tcPr>
          <w:p>
            <w:pPr>
              <w:spacing w:line="360" w:lineRule="exact"/>
              <w:jc w:val="center"/>
              <w:rPr>
                <w:rFonts w:ascii="宋体" w:hAnsi="宋体" w:eastAsia="宋体"/>
                <w:b/>
                <w:bCs/>
                <w:color w:val="000000"/>
                <w:position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申请商标首次</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注册地</w:t>
            </w:r>
          </w:p>
        </w:tc>
        <w:tc>
          <w:tcPr>
            <w:tcW w:w="2395" w:type="dxa"/>
            <w:gridSpan w:val="3"/>
            <w:vAlign w:val="center"/>
          </w:tcPr>
          <w:p>
            <w:pPr>
              <w:adjustRightInd w:val="0"/>
              <w:snapToGrid w:val="0"/>
              <w:spacing w:line="280" w:lineRule="exact"/>
              <w:jc w:val="center"/>
              <w:rPr>
                <w:rFonts w:ascii="宋体" w:hAnsi="宋体" w:eastAsia="宋体"/>
                <w:b/>
                <w:bCs/>
                <w:color w:val="000000"/>
                <w:sz w:val="21"/>
                <w:szCs w:val="21"/>
              </w:rPr>
            </w:pPr>
          </w:p>
        </w:tc>
        <w:tc>
          <w:tcPr>
            <w:tcW w:w="2468" w:type="dxa"/>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境内注册</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商标名称</w:t>
            </w:r>
          </w:p>
        </w:tc>
        <w:tc>
          <w:tcPr>
            <w:tcW w:w="2138" w:type="dxa"/>
            <w:vAlign w:val="center"/>
          </w:tcPr>
          <w:p>
            <w:pPr>
              <w:adjustRightInd w:val="0"/>
              <w:snapToGrid w:val="0"/>
              <w:spacing w:line="360" w:lineRule="exac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企业连续三年</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盈利情况</w:t>
            </w:r>
          </w:p>
        </w:tc>
        <w:tc>
          <w:tcPr>
            <w:tcW w:w="7001" w:type="dxa"/>
            <w:gridSpan w:val="5"/>
            <w:vAlign w:val="center"/>
          </w:tcPr>
          <w:p>
            <w:pPr>
              <w:spacing w:line="300" w:lineRule="exact"/>
              <w:rPr>
                <w:rFonts w:ascii="宋体" w:hAnsi="宋体" w:eastAsia="宋体"/>
                <w:b/>
                <w:bCs/>
                <w:color w:val="000000"/>
                <w:sz w:val="21"/>
                <w:szCs w:val="21"/>
              </w:rPr>
            </w:pPr>
            <w:r>
              <w:rPr>
                <w:rFonts w:ascii="宋体" w:hAnsi="宋体" w:eastAsia="宋体" w:cs="宋体"/>
                <w:color w:val="000000"/>
                <w:sz w:val="21"/>
                <w:szCs w:val="21"/>
              </w:rPr>
              <w:t>2014</w:t>
            </w:r>
            <w:r>
              <w:rPr>
                <w:rFonts w:hint="eastAsia" w:ascii="宋体" w:hAnsi="宋体" w:eastAsia="宋体" w:cs="宋体"/>
                <w:color w:val="000000"/>
                <w:sz w:val="21"/>
                <w:szCs w:val="21"/>
              </w:rPr>
              <w:t>年：</w:t>
            </w:r>
            <w:r>
              <w:rPr>
                <w:rFonts w:ascii="宋体" w:hAnsi="宋体" w:eastAsia="宋体" w:cs="宋体"/>
                <w:color w:val="000000"/>
                <w:sz w:val="21"/>
                <w:szCs w:val="21"/>
              </w:rPr>
              <w:t xml:space="preserve">            2015</w:t>
            </w:r>
            <w:r>
              <w:rPr>
                <w:rFonts w:hint="eastAsia" w:ascii="宋体" w:hAnsi="宋体" w:eastAsia="宋体" w:cs="宋体"/>
                <w:color w:val="000000"/>
                <w:sz w:val="21"/>
                <w:szCs w:val="21"/>
              </w:rPr>
              <w:t>年：</w:t>
            </w:r>
            <w:r>
              <w:rPr>
                <w:rFonts w:ascii="宋体" w:hAnsi="宋体" w:eastAsia="宋体" w:cs="宋体"/>
                <w:color w:val="000000"/>
                <w:sz w:val="21"/>
                <w:szCs w:val="21"/>
              </w:rPr>
              <w:t xml:space="preserve">              2016</w:t>
            </w:r>
            <w:r>
              <w:rPr>
                <w:rFonts w:hint="eastAsia" w:ascii="宋体" w:hAnsi="宋体" w:eastAsia="宋体" w:cs="宋体"/>
                <w:color w:val="00000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spacing w:line="360" w:lineRule="exact"/>
              <w:jc w:val="center"/>
              <w:rPr>
                <w:rFonts w:ascii="宋体" w:hAnsi="宋体" w:eastAsia="宋体"/>
                <w:b/>
                <w:bCs/>
                <w:color w:val="000000"/>
                <w:position w:val="2"/>
                <w:sz w:val="21"/>
                <w:szCs w:val="21"/>
              </w:rPr>
            </w:pPr>
            <w:r>
              <w:rPr>
                <w:rFonts w:hint="eastAsia" w:ascii="宋体" w:hAnsi="宋体" w:eastAsia="宋体" w:cs="宋体"/>
                <w:b/>
                <w:bCs/>
                <w:color w:val="000000"/>
                <w:position w:val="2"/>
                <w:sz w:val="21"/>
                <w:szCs w:val="21"/>
              </w:rPr>
              <w:t>企业类型</w:t>
            </w:r>
          </w:p>
        </w:tc>
        <w:tc>
          <w:tcPr>
            <w:tcW w:w="7001" w:type="dxa"/>
            <w:gridSpan w:val="5"/>
            <w:vAlign w:val="center"/>
          </w:tcPr>
          <w:p>
            <w:pPr>
              <w:spacing w:line="360" w:lineRule="exact"/>
              <w:rPr>
                <w:rFonts w:ascii="宋体" w:hAnsi="宋体" w:eastAsia="宋体"/>
                <w:color w:val="000000"/>
                <w:sz w:val="21"/>
                <w:szCs w:val="21"/>
              </w:rPr>
            </w:pPr>
            <w:r>
              <w:rPr>
                <w:rFonts w:hint="eastAsia" w:ascii="宋体" w:hAnsi="宋体" w:eastAsia="宋体" w:cs="宋体"/>
                <w:color w:val="000000"/>
                <w:position w:val="2"/>
                <w:sz w:val="21"/>
                <w:szCs w:val="21"/>
              </w:rPr>
              <w:t>流通企业□</w:t>
            </w:r>
            <w:r>
              <w:rPr>
                <w:rFonts w:ascii="宋体" w:hAnsi="宋体" w:eastAsia="宋体" w:cs="宋体"/>
                <w:color w:val="000000"/>
                <w:position w:val="2"/>
                <w:sz w:val="21"/>
                <w:szCs w:val="21"/>
              </w:rPr>
              <w:t xml:space="preserve">    </w:t>
            </w:r>
            <w:r>
              <w:rPr>
                <w:rFonts w:hint="eastAsia" w:ascii="宋体" w:hAnsi="宋体" w:eastAsia="宋体" w:cs="宋体"/>
                <w:color w:val="000000"/>
                <w:position w:val="2"/>
                <w:sz w:val="21"/>
                <w:szCs w:val="21"/>
              </w:rPr>
              <w:t>生产企业□</w:t>
            </w:r>
            <w:r>
              <w:rPr>
                <w:rFonts w:ascii="宋体" w:hAnsi="宋体" w:eastAsia="宋体" w:cs="宋体"/>
                <w:color w:val="000000"/>
                <w:position w:val="2"/>
                <w:sz w:val="21"/>
                <w:szCs w:val="21"/>
              </w:rPr>
              <w:t xml:space="preserve">   </w:t>
            </w:r>
            <w:r>
              <w:rPr>
                <w:rFonts w:hint="eastAsia" w:ascii="宋体" w:hAnsi="宋体" w:eastAsia="宋体" w:cs="宋体"/>
                <w:color w:val="000000"/>
                <w:position w:val="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adjustRightInd w:val="0"/>
              <w:snapToGrid w:val="0"/>
              <w:spacing w:line="360" w:lineRule="exact"/>
              <w:jc w:val="center"/>
              <w:rPr>
                <w:rFonts w:ascii="宋体" w:hAnsi="宋体" w:eastAsia="宋体"/>
                <w:b/>
                <w:bCs/>
                <w:color w:val="000000"/>
                <w:position w:val="2"/>
                <w:sz w:val="21"/>
                <w:szCs w:val="21"/>
              </w:rPr>
            </w:pPr>
            <w:r>
              <w:rPr>
                <w:rFonts w:hint="eastAsia" w:ascii="宋体" w:hAnsi="宋体" w:eastAsia="宋体" w:cs="宋体"/>
                <w:b/>
                <w:bCs/>
                <w:color w:val="000000"/>
                <w:position w:val="2"/>
                <w:sz w:val="21"/>
                <w:szCs w:val="21"/>
              </w:rPr>
              <w:t>企业所有制性质</w:t>
            </w:r>
          </w:p>
        </w:tc>
        <w:tc>
          <w:tcPr>
            <w:tcW w:w="7001" w:type="dxa"/>
            <w:gridSpan w:val="5"/>
            <w:vAlign w:val="center"/>
          </w:tcPr>
          <w:p>
            <w:pPr>
              <w:adjustRightInd w:val="0"/>
              <w:snapToGrid w:val="0"/>
              <w:spacing w:line="360" w:lineRule="exact"/>
              <w:rPr>
                <w:rFonts w:ascii="宋体" w:hAnsi="宋体" w:eastAsia="宋体"/>
                <w:color w:val="000000"/>
                <w:position w:val="2"/>
                <w:sz w:val="21"/>
                <w:szCs w:val="21"/>
              </w:rPr>
            </w:pPr>
            <w:r>
              <w:rPr>
                <w:rFonts w:hint="eastAsia" w:ascii="宋体" w:hAnsi="宋体" w:eastAsia="宋体" w:cs="宋体"/>
                <w:color w:val="000000"/>
                <w:position w:val="2"/>
                <w:sz w:val="21"/>
                <w:szCs w:val="21"/>
              </w:rPr>
              <w:t>国有企业□</w:t>
            </w:r>
            <w:r>
              <w:rPr>
                <w:rFonts w:ascii="宋体" w:hAnsi="宋体" w:eastAsia="宋体" w:cs="宋体"/>
                <w:color w:val="000000"/>
                <w:position w:val="2"/>
                <w:sz w:val="21"/>
                <w:szCs w:val="21"/>
              </w:rPr>
              <w:t xml:space="preserve">   </w:t>
            </w:r>
            <w:r>
              <w:rPr>
                <w:rFonts w:hint="eastAsia" w:ascii="宋体" w:hAnsi="宋体" w:eastAsia="宋体" w:cs="宋体"/>
                <w:color w:val="000000"/>
                <w:position w:val="2"/>
                <w:sz w:val="21"/>
                <w:szCs w:val="21"/>
              </w:rPr>
              <w:t>民营企业□</w:t>
            </w:r>
            <w:r>
              <w:rPr>
                <w:rFonts w:ascii="宋体" w:hAnsi="宋体" w:eastAsia="宋体" w:cs="宋体"/>
                <w:color w:val="000000"/>
                <w:position w:val="2"/>
                <w:sz w:val="21"/>
                <w:szCs w:val="21"/>
              </w:rPr>
              <w:t xml:space="preserve">  </w:t>
            </w:r>
            <w:r>
              <w:rPr>
                <w:rFonts w:hint="eastAsia" w:ascii="宋体" w:hAnsi="宋体" w:eastAsia="宋体" w:cs="宋体"/>
                <w:color w:val="000000"/>
                <w:position w:val="2"/>
                <w:sz w:val="21"/>
                <w:szCs w:val="21"/>
              </w:rPr>
              <w:t>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3" w:type="dxa"/>
            <w:vMerge w:val="continue"/>
            <w:vAlign w:val="center"/>
          </w:tcPr>
          <w:p>
            <w:pPr>
              <w:widowControl/>
              <w:jc w:val="left"/>
              <w:rPr>
                <w:rFonts w:ascii="宋体" w:hAnsi="宋体" w:eastAsia="宋体"/>
                <w:color w:val="000000"/>
                <w:sz w:val="21"/>
                <w:szCs w:val="21"/>
              </w:rPr>
            </w:pPr>
          </w:p>
        </w:tc>
        <w:tc>
          <w:tcPr>
            <w:tcW w:w="1981" w:type="dxa"/>
            <w:vAlign w:val="center"/>
          </w:tcPr>
          <w:p>
            <w:pPr>
              <w:adjustRightInd w:val="0"/>
              <w:snapToGrid w:val="0"/>
              <w:spacing w:line="3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详细股权结构</w:t>
            </w:r>
          </w:p>
        </w:tc>
        <w:tc>
          <w:tcPr>
            <w:tcW w:w="7001" w:type="dxa"/>
            <w:gridSpan w:val="5"/>
            <w:vAlign w:val="center"/>
          </w:tcPr>
          <w:p>
            <w:pPr>
              <w:adjustRightInd w:val="0"/>
              <w:snapToGrid w:val="0"/>
              <w:spacing w:line="360" w:lineRule="exact"/>
              <w:rPr>
                <w:rFonts w:ascii="宋体" w:hAnsi="宋体" w:eastAsia="宋体"/>
                <w:b/>
                <w:bCs/>
                <w:color w:val="000000"/>
                <w:sz w:val="21"/>
                <w:szCs w:val="21"/>
              </w:rPr>
            </w:pPr>
            <w:r>
              <w:rPr>
                <w:rFonts w:hint="eastAsia" w:ascii="宋体" w:hAnsi="宋体" w:eastAsia="宋体" w:cs="宋体"/>
                <w:b/>
                <w:bCs/>
                <w:color w:val="000000"/>
                <w:sz w:val="21"/>
                <w:szCs w:val="21"/>
              </w:rPr>
              <w:t>（请出具控股证明材料）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8" w:hRule="exact"/>
          <w:jc w:val="center"/>
        </w:trPr>
        <w:tc>
          <w:tcPr>
            <w:tcW w:w="573" w:type="dxa"/>
            <w:vMerge w:val="continue"/>
            <w:vAlign w:val="center"/>
          </w:tcPr>
          <w:p>
            <w:pPr>
              <w:widowControl/>
              <w:jc w:val="left"/>
              <w:rPr>
                <w:rFonts w:ascii="宋体" w:hAnsi="宋体" w:eastAsia="宋体"/>
                <w:color w:val="000000"/>
                <w:sz w:val="21"/>
                <w:szCs w:val="21"/>
              </w:rPr>
            </w:pPr>
          </w:p>
        </w:tc>
        <w:tc>
          <w:tcPr>
            <w:tcW w:w="3062" w:type="dxa"/>
            <w:gridSpan w:val="2"/>
            <w:vAlign w:val="center"/>
          </w:tcPr>
          <w:p>
            <w:pPr>
              <w:spacing w:line="30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商标图形标识：</w:t>
            </w:r>
          </w:p>
          <w:p>
            <w:pPr>
              <w:spacing w:line="30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（商标</w:t>
            </w:r>
            <w:r>
              <w:rPr>
                <w:rFonts w:ascii="宋体" w:hAnsi="宋体" w:eastAsia="宋体" w:cs="宋体"/>
                <w:b/>
                <w:bCs/>
                <w:color w:val="000000"/>
                <w:sz w:val="21"/>
                <w:szCs w:val="21"/>
              </w:rPr>
              <w:t>LOGO</w:t>
            </w:r>
            <w:r>
              <w:rPr>
                <w:rFonts w:hint="eastAsia" w:ascii="宋体" w:hAnsi="宋体" w:eastAsia="宋体" w:cs="宋体"/>
                <w:b/>
                <w:bCs/>
                <w:color w:val="000000"/>
                <w:sz w:val="21"/>
                <w:szCs w:val="21"/>
              </w:rPr>
              <w:t>标志要求是最新注册的，</w:t>
            </w:r>
            <w:r>
              <w:rPr>
                <w:rFonts w:ascii="宋体" w:hAnsi="宋体" w:eastAsia="宋体" w:cs="宋体"/>
                <w:b/>
                <w:bCs/>
                <w:color w:val="000000"/>
                <w:sz w:val="21"/>
                <w:szCs w:val="21"/>
              </w:rPr>
              <w:t>jpg</w:t>
            </w:r>
            <w:r>
              <w:rPr>
                <w:rFonts w:hint="eastAsia" w:ascii="宋体" w:hAnsi="宋体" w:eastAsia="宋体" w:cs="宋体"/>
                <w:b/>
                <w:bCs/>
                <w:color w:val="000000"/>
                <w:sz w:val="21"/>
                <w:szCs w:val="21"/>
              </w:rPr>
              <w:t>格式，</w:t>
            </w:r>
          </w:p>
          <w:p>
            <w:pPr>
              <w:spacing w:line="300" w:lineRule="exact"/>
              <w:jc w:val="center"/>
              <w:rPr>
                <w:rFonts w:ascii="宋体" w:hAnsi="宋体" w:eastAsia="宋体"/>
                <w:color w:val="000000"/>
                <w:sz w:val="21"/>
                <w:szCs w:val="21"/>
              </w:rPr>
            </w:pPr>
            <w:r>
              <w:rPr>
                <w:rFonts w:hint="eastAsia" w:ascii="宋体" w:hAnsi="宋体" w:eastAsia="宋体" w:cs="宋体"/>
                <w:b/>
                <w:bCs/>
                <w:color w:val="000000"/>
                <w:sz w:val="21"/>
                <w:szCs w:val="21"/>
              </w:rPr>
              <w:t>像素必须高于</w:t>
            </w:r>
            <w:r>
              <w:rPr>
                <w:rFonts w:ascii="宋体" w:hAnsi="宋体" w:eastAsia="宋体" w:cs="宋体"/>
                <w:b/>
                <w:bCs/>
                <w:color w:val="000000"/>
                <w:sz w:val="21"/>
                <w:szCs w:val="21"/>
              </w:rPr>
              <w:t>150</w:t>
            </w:r>
            <w:r>
              <w:rPr>
                <w:rFonts w:hint="eastAsia" w:ascii="宋体" w:hAnsi="宋体" w:eastAsia="宋体" w:cs="宋体"/>
                <w:b/>
                <w:bCs/>
                <w:color w:val="000000"/>
                <w:sz w:val="21"/>
                <w:szCs w:val="21"/>
              </w:rPr>
              <w:t>Ｋ）</w:t>
            </w:r>
          </w:p>
        </w:tc>
        <w:tc>
          <w:tcPr>
            <w:tcW w:w="5920" w:type="dxa"/>
            <w:gridSpan w:val="4"/>
            <w:vAlign w:val="center"/>
          </w:tcPr>
          <w:p>
            <w:pPr>
              <w:spacing w:line="360" w:lineRule="exact"/>
              <w:rPr>
                <w:rFonts w:ascii="宋体" w:hAnsi="宋体" w:eastAsia="宋体"/>
                <w:color w:val="000000"/>
                <w:sz w:val="21"/>
                <w:szCs w:val="21"/>
              </w:rPr>
            </w:pPr>
          </w:p>
          <w:p>
            <w:pPr>
              <w:spacing w:line="360" w:lineRule="exact"/>
              <w:rPr>
                <w:rFonts w:ascii="宋体" w:hAnsi="宋体" w:eastAsia="宋体"/>
                <w:color w:val="000000"/>
                <w:sz w:val="21"/>
                <w:szCs w:val="21"/>
              </w:rPr>
            </w:pPr>
          </w:p>
          <w:p>
            <w:pPr>
              <w:spacing w:line="360" w:lineRule="exact"/>
              <w:rPr>
                <w:rFonts w:ascii="宋体" w:hAnsi="宋体" w:eastAsia="宋体"/>
                <w:color w:val="000000"/>
                <w:sz w:val="21"/>
                <w:szCs w:val="21"/>
              </w:rPr>
            </w:pPr>
          </w:p>
          <w:p>
            <w:pPr>
              <w:spacing w:line="360" w:lineRule="exact"/>
              <w:rPr>
                <w:rFonts w:ascii="宋体" w:hAnsi="宋体" w:eastAsia="宋体"/>
                <w:color w:val="000000"/>
                <w:sz w:val="21"/>
                <w:szCs w:val="21"/>
              </w:rPr>
            </w:pPr>
          </w:p>
          <w:p>
            <w:pPr>
              <w:spacing w:line="360" w:lineRule="exact"/>
              <w:rPr>
                <w:rFonts w:ascii="宋体" w:hAnsi="宋体" w:eastAsia="宋体"/>
                <w:color w:val="000000"/>
                <w:sz w:val="21"/>
                <w:szCs w:val="21"/>
              </w:rPr>
            </w:pPr>
          </w:p>
          <w:p>
            <w:pPr>
              <w:spacing w:line="360" w:lineRule="exact"/>
              <w:rPr>
                <w:rFonts w:ascii="宋体" w:hAnsi="宋体" w:eastAsia="宋体"/>
                <w:color w:val="000000"/>
                <w:sz w:val="21"/>
                <w:szCs w:val="21"/>
              </w:rPr>
            </w:pPr>
          </w:p>
        </w:tc>
      </w:tr>
    </w:tbl>
    <w:p>
      <w:pPr>
        <w:spacing w:line="600" w:lineRule="exact"/>
        <w:ind w:right="482"/>
        <w:rPr>
          <w:rFonts w:eastAsia="黑体"/>
          <w:color w:val="000000"/>
        </w:rPr>
      </w:pPr>
    </w:p>
    <w:tbl>
      <w:tblPr>
        <w:tblStyle w:val="11"/>
        <w:tblpPr w:leftFromText="180" w:rightFromText="180" w:vertAnchor="text" w:horzAnchor="margin" w:tblpX="-274" w:tblpY="2"/>
        <w:tblW w:w="9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2792"/>
        <w:gridCol w:w="179"/>
        <w:gridCol w:w="3438"/>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074" w:type="dxa"/>
            <w:gridSpan w:val="3"/>
            <w:vAlign w:val="center"/>
          </w:tcPr>
          <w:p>
            <w:pPr>
              <w:adjustRightInd w:val="0"/>
              <w:snapToGrid w:val="0"/>
              <w:spacing w:line="4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评审指标（括号内为该项目最高得分）</w:t>
            </w:r>
          </w:p>
        </w:tc>
        <w:tc>
          <w:tcPr>
            <w:tcW w:w="3438" w:type="dxa"/>
            <w:vAlign w:val="center"/>
          </w:tcPr>
          <w:p>
            <w:pPr>
              <w:adjustRightInd w:val="0"/>
              <w:snapToGrid w:val="0"/>
              <w:spacing w:line="460" w:lineRule="exact"/>
              <w:jc w:val="center"/>
              <w:rPr>
                <w:rFonts w:ascii="宋体" w:hAnsi="宋体" w:eastAsia="宋体"/>
                <w:b/>
                <w:bCs/>
                <w:color w:val="000000"/>
                <w:position w:val="4"/>
                <w:sz w:val="21"/>
                <w:szCs w:val="21"/>
              </w:rPr>
            </w:pPr>
            <w:r>
              <w:rPr>
                <w:rFonts w:hint="eastAsia" w:ascii="宋体" w:hAnsi="宋体" w:eastAsia="宋体" w:cs="宋体"/>
                <w:b/>
                <w:bCs/>
                <w:color w:val="000000"/>
                <w:position w:val="4"/>
                <w:sz w:val="21"/>
                <w:szCs w:val="21"/>
              </w:rPr>
              <w:t>具体情况</w:t>
            </w:r>
          </w:p>
        </w:tc>
        <w:tc>
          <w:tcPr>
            <w:tcW w:w="1017" w:type="dxa"/>
            <w:vAlign w:val="center"/>
          </w:tcPr>
          <w:p>
            <w:pPr>
              <w:adjustRightInd w:val="0"/>
              <w:snapToGrid w:val="0"/>
              <w:spacing w:line="460" w:lineRule="exact"/>
              <w:jc w:val="center"/>
              <w:rPr>
                <w:rFonts w:ascii="宋体" w:hAnsi="宋体" w:eastAsia="宋体"/>
                <w:b/>
                <w:bCs/>
                <w:color w:val="000000"/>
                <w:position w:val="4"/>
                <w:sz w:val="21"/>
                <w:szCs w:val="21"/>
              </w:rPr>
            </w:pPr>
            <w:r>
              <w:rPr>
                <w:rFonts w:ascii="宋体" w:hAnsi="宋体" w:eastAsia="宋体" w:cs="宋体"/>
                <w:b/>
                <w:bCs/>
                <w:color w:val="000000"/>
                <w:position w:val="4"/>
                <w:sz w:val="21"/>
                <w:szCs w:val="21"/>
              </w:rPr>
              <w:t xml:space="preserve"> </w:t>
            </w:r>
            <w:r>
              <w:rPr>
                <w:rFonts w:hint="eastAsia" w:ascii="宋体" w:hAnsi="宋体" w:eastAsia="宋体" w:cs="宋体"/>
                <w:b/>
                <w:bCs/>
                <w:color w:val="000000"/>
                <w:position w:val="4"/>
                <w:sz w:val="21"/>
                <w:szCs w:val="21"/>
              </w:rPr>
              <w:t>得分</w:t>
            </w:r>
            <w:r>
              <w:rPr>
                <w:rFonts w:ascii="宋体" w:hAnsi="宋体" w:eastAsia="宋体"/>
                <w:b/>
                <w:bCs/>
                <w:color w:val="000000"/>
                <w:position w:val="4"/>
                <w:sz w:val="21"/>
                <w:szCs w:val="21"/>
                <w:vertAlign w:val="superscript"/>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restart"/>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研发创新能力</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w:t>
            </w:r>
            <w:r>
              <w:rPr>
                <w:rFonts w:ascii="宋体" w:hAnsi="宋体" w:eastAsia="宋体" w:cs="宋体"/>
                <w:b/>
                <w:bCs/>
                <w:color w:val="000000"/>
                <w:sz w:val="21"/>
                <w:szCs w:val="21"/>
              </w:rPr>
              <w:t>30</w:t>
            </w:r>
            <w:r>
              <w:rPr>
                <w:rFonts w:hint="eastAsia" w:ascii="宋体" w:hAnsi="宋体" w:eastAsia="宋体" w:cs="宋体"/>
                <w:b/>
                <w:bCs/>
                <w:color w:val="000000"/>
                <w:sz w:val="21"/>
                <w:szCs w:val="21"/>
              </w:rPr>
              <w:t>分）</w:t>
            </w: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专利</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（填写类型和数量）</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省（市）级以上科技进步奖</w:t>
            </w:r>
          </w:p>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高新技术产品</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（填写类型和数量）</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高新技术企业</w:t>
            </w:r>
          </w:p>
        </w:tc>
        <w:tc>
          <w:tcPr>
            <w:tcW w:w="3438" w:type="dxa"/>
            <w:vAlign w:val="center"/>
          </w:tcPr>
          <w:p>
            <w:pPr>
              <w:adjustRightInd w:val="0"/>
              <w:snapToGrid w:val="0"/>
              <w:spacing w:line="460" w:lineRule="exact"/>
              <w:rPr>
                <w:rFonts w:ascii="宋体" w:hAnsi="宋体" w:eastAsia="宋体"/>
                <w:color w:val="000000"/>
                <w:position w:val="8"/>
                <w:sz w:val="21"/>
                <w:szCs w:val="21"/>
              </w:rPr>
            </w:pP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标准制订</w:t>
            </w:r>
          </w:p>
        </w:tc>
        <w:tc>
          <w:tcPr>
            <w:tcW w:w="3438" w:type="dxa"/>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（填写类型及数量）</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restart"/>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按照国际通行</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管理体系</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组织生产</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w:t>
            </w:r>
            <w:r>
              <w:rPr>
                <w:rFonts w:ascii="宋体" w:hAnsi="宋体" w:eastAsia="宋体" w:cs="宋体"/>
                <w:b/>
                <w:bCs/>
                <w:color w:val="000000"/>
                <w:sz w:val="21"/>
                <w:szCs w:val="21"/>
              </w:rPr>
              <w:t>20</w:t>
            </w:r>
            <w:r>
              <w:rPr>
                <w:rFonts w:hint="eastAsia" w:ascii="宋体" w:hAnsi="宋体" w:eastAsia="宋体" w:cs="宋体"/>
                <w:b/>
                <w:bCs/>
                <w:color w:val="000000"/>
                <w:sz w:val="21"/>
                <w:szCs w:val="21"/>
              </w:rPr>
              <w:t>分）</w:t>
            </w: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质量管理体系认证</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（填写通过认证的名称）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环境管理体系认证</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（填写通过认证的名称）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s="宋体"/>
                <w:color w:val="000000"/>
                <w:position w:val="8"/>
                <w:sz w:val="21"/>
                <w:szCs w:val="21"/>
              </w:rPr>
            </w:pPr>
            <w:r>
              <w:rPr>
                <w:rFonts w:hint="eastAsia" w:ascii="宋体" w:hAnsi="宋体" w:eastAsia="宋体" w:cs="宋体"/>
                <w:color w:val="000000"/>
                <w:position w:val="8"/>
                <w:sz w:val="21"/>
                <w:szCs w:val="21"/>
              </w:rPr>
              <w:t>职业健康安全或社会责任标准认证</w:t>
            </w:r>
          </w:p>
          <w:p>
            <w:pPr>
              <w:adjustRightInd w:val="0"/>
              <w:snapToGrid w:val="0"/>
              <w:spacing w:line="460" w:lineRule="exact"/>
              <w:rPr>
                <w:rFonts w:ascii="宋体" w:hAnsi="宋体" w:eastAsia="宋体"/>
                <w:color w:val="000000"/>
                <w:position w:val="8"/>
                <w:sz w:val="21"/>
                <w:szCs w:val="21"/>
              </w:rPr>
            </w:pPr>
          </w:p>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社会责任标准认证</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（填写通过认证的名称）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restart"/>
            <w:vAlign w:val="center"/>
          </w:tcPr>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市场销售和</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消费者认可</w:t>
            </w:r>
          </w:p>
          <w:p>
            <w:pPr>
              <w:adjustRightInd w:val="0"/>
              <w:snapToGrid w:val="0"/>
              <w:spacing w:line="280" w:lineRule="exact"/>
              <w:jc w:val="center"/>
              <w:rPr>
                <w:rFonts w:ascii="宋体" w:hAnsi="宋体" w:eastAsia="宋体"/>
                <w:b/>
                <w:bCs/>
                <w:color w:val="000000"/>
                <w:sz w:val="21"/>
                <w:szCs w:val="21"/>
              </w:rPr>
            </w:pPr>
            <w:r>
              <w:rPr>
                <w:rFonts w:hint="eastAsia" w:ascii="宋体" w:hAnsi="宋体" w:eastAsia="宋体" w:cs="宋体"/>
                <w:b/>
                <w:bCs/>
                <w:color w:val="000000"/>
                <w:sz w:val="21"/>
                <w:szCs w:val="21"/>
              </w:rPr>
              <w:t>（</w:t>
            </w:r>
            <w:r>
              <w:rPr>
                <w:rFonts w:ascii="宋体" w:hAnsi="宋体" w:eastAsia="宋体" w:cs="宋体"/>
                <w:b/>
                <w:bCs/>
                <w:color w:val="000000"/>
                <w:sz w:val="21"/>
                <w:szCs w:val="21"/>
              </w:rPr>
              <w:t>35</w:t>
            </w:r>
            <w:r>
              <w:rPr>
                <w:rFonts w:hint="eastAsia" w:ascii="宋体" w:hAnsi="宋体" w:eastAsia="宋体" w:cs="宋体"/>
                <w:b/>
                <w:bCs/>
                <w:color w:val="000000"/>
                <w:sz w:val="21"/>
                <w:szCs w:val="21"/>
              </w:rPr>
              <w:t>分）</w:t>
            </w:r>
          </w:p>
        </w:tc>
        <w:tc>
          <w:tcPr>
            <w:tcW w:w="2971" w:type="dxa"/>
            <w:gridSpan w:val="2"/>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上年度出口额</w:t>
            </w:r>
          </w:p>
        </w:tc>
        <w:tc>
          <w:tcPr>
            <w:tcW w:w="3438" w:type="dxa"/>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（填写数值）</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行业内出口排名</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（如有请提供名次）</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申报品牌商品出口额及比重</w:t>
            </w:r>
          </w:p>
        </w:tc>
        <w:tc>
          <w:tcPr>
            <w:tcW w:w="3438" w:type="dxa"/>
            <w:vAlign w:val="center"/>
          </w:tcPr>
          <w:p>
            <w:pPr>
              <w:adjustRightInd w:val="0"/>
              <w:snapToGrid w:val="0"/>
              <w:spacing w:line="460" w:lineRule="exact"/>
              <w:rPr>
                <w:rFonts w:ascii="宋体" w:hAnsi="宋体" w:eastAsia="宋体"/>
                <w:color w:val="000000"/>
                <w:position w:val="6"/>
                <w:sz w:val="21"/>
                <w:szCs w:val="21"/>
              </w:rPr>
            </w:pPr>
            <w:r>
              <w:rPr>
                <w:rFonts w:hint="eastAsia" w:ascii="宋体" w:hAnsi="宋体" w:eastAsia="宋体" w:cs="宋体"/>
                <w:color w:val="000000"/>
                <w:position w:val="6"/>
                <w:sz w:val="21"/>
                <w:szCs w:val="21"/>
              </w:rPr>
              <w:t>（须提供统计表及相关证明材料）</w:t>
            </w:r>
          </w:p>
        </w:tc>
        <w:tc>
          <w:tcPr>
            <w:tcW w:w="1017" w:type="dxa"/>
            <w:vAlign w:val="center"/>
          </w:tcPr>
          <w:p>
            <w:pPr>
              <w:adjustRightInd w:val="0"/>
              <w:snapToGrid w:val="0"/>
              <w:spacing w:line="460" w:lineRule="exac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03" w:type="dxa"/>
            <w:vMerge w:val="continue"/>
            <w:vAlign w:val="center"/>
          </w:tcPr>
          <w:p>
            <w:pPr>
              <w:widowControl/>
              <w:jc w:val="left"/>
              <w:rPr>
                <w:rFonts w:ascii="宋体" w:hAnsi="宋体" w:eastAsia="宋体"/>
                <w:b/>
                <w:bCs/>
                <w:color w:val="000000"/>
                <w:sz w:val="21"/>
                <w:szCs w:val="21"/>
              </w:rPr>
            </w:pPr>
          </w:p>
        </w:tc>
        <w:tc>
          <w:tcPr>
            <w:tcW w:w="2971" w:type="dxa"/>
            <w:gridSpan w:val="2"/>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上年度销售额</w:t>
            </w:r>
          </w:p>
        </w:tc>
        <w:tc>
          <w:tcPr>
            <w:tcW w:w="3438" w:type="dxa"/>
            <w:vAlign w:val="center"/>
          </w:tcPr>
          <w:p>
            <w:pPr>
              <w:adjustRightInd w:val="0"/>
              <w:snapToGrid w:val="0"/>
              <w:spacing w:line="460" w:lineRule="exact"/>
              <w:rPr>
                <w:rFonts w:ascii="宋体" w:hAnsi="宋体" w:eastAsia="宋体"/>
                <w:color w:val="000000"/>
                <w:position w:val="10"/>
                <w:sz w:val="21"/>
                <w:szCs w:val="21"/>
              </w:rPr>
            </w:pPr>
            <w:r>
              <w:rPr>
                <w:rFonts w:hint="eastAsia" w:ascii="宋体" w:hAnsi="宋体" w:eastAsia="宋体" w:cs="宋体"/>
                <w:color w:val="000000"/>
                <w:position w:val="10"/>
                <w:sz w:val="21"/>
                <w:szCs w:val="21"/>
              </w:rPr>
              <w:t>（填写数值）</w:t>
            </w:r>
          </w:p>
        </w:tc>
        <w:tc>
          <w:tcPr>
            <w:tcW w:w="1017" w:type="dxa"/>
            <w:vAlign w:val="center"/>
          </w:tcPr>
          <w:p>
            <w:pPr>
              <w:adjustRightInd w:val="0"/>
              <w:snapToGrid w:val="0"/>
              <w:spacing w:line="460" w:lineRule="exac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074" w:type="dxa"/>
            <w:gridSpan w:val="3"/>
            <w:vAlign w:val="center"/>
          </w:tcPr>
          <w:p>
            <w:pPr>
              <w:adjustRightInd w:val="0"/>
              <w:snapToGrid w:val="0"/>
              <w:spacing w:line="460" w:lineRule="exact"/>
              <w:jc w:val="center"/>
              <w:rPr>
                <w:rFonts w:ascii="宋体" w:hAnsi="宋体" w:eastAsia="宋体"/>
                <w:b/>
                <w:bCs/>
                <w:color w:val="000000"/>
                <w:position w:val="8"/>
                <w:sz w:val="21"/>
                <w:szCs w:val="21"/>
              </w:rPr>
            </w:pPr>
            <w:r>
              <w:rPr>
                <w:rFonts w:hint="eastAsia" w:ascii="宋体" w:hAnsi="宋体" w:eastAsia="宋体" w:cs="宋体"/>
                <w:b/>
                <w:bCs/>
                <w:color w:val="000000"/>
                <w:position w:val="8"/>
                <w:sz w:val="21"/>
                <w:szCs w:val="21"/>
              </w:rPr>
              <w:t>全球化经营（</w:t>
            </w:r>
            <w:r>
              <w:rPr>
                <w:rFonts w:ascii="宋体" w:hAnsi="宋体" w:eastAsia="宋体" w:cs="宋体"/>
                <w:b/>
                <w:bCs/>
                <w:color w:val="000000"/>
                <w:position w:val="8"/>
                <w:sz w:val="21"/>
                <w:szCs w:val="21"/>
              </w:rPr>
              <w:t>15</w:t>
            </w:r>
            <w:r>
              <w:rPr>
                <w:rFonts w:hint="eastAsia" w:ascii="宋体" w:hAnsi="宋体" w:eastAsia="宋体" w:cs="宋体"/>
                <w:b/>
                <w:bCs/>
                <w:color w:val="000000"/>
                <w:position w:val="8"/>
                <w:sz w:val="21"/>
                <w:szCs w:val="21"/>
              </w:rPr>
              <w:t>分）</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（填写设立地、媒体名称）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074" w:type="dxa"/>
            <w:gridSpan w:val="3"/>
            <w:vAlign w:val="center"/>
          </w:tcPr>
          <w:p>
            <w:pPr>
              <w:adjustRightInd w:val="0"/>
              <w:snapToGrid w:val="0"/>
              <w:spacing w:line="460" w:lineRule="exact"/>
              <w:jc w:val="center"/>
              <w:rPr>
                <w:rFonts w:ascii="宋体" w:hAnsi="宋体" w:eastAsia="宋体"/>
                <w:b/>
                <w:bCs/>
                <w:color w:val="000000"/>
                <w:position w:val="8"/>
                <w:sz w:val="21"/>
                <w:szCs w:val="21"/>
              </w:rPr>
            </w:pPr>
            <w:r>
              <w:rPr>
                <w:rFonts w:hint="eastAsia" w:ascii="宋体" w:hAnsi="宋体" w:eastAsia="宋体" w:cs="宋体"/>
                <w:b/>
                <w:bCs/>
                <w:color w:val="000000"/>
                <w:position w:val="8"/>
                <w:sz w:val="21"/>
                <w:szCs w:val="21"/>
              </w:rPr>
              <w:t>知识产权保护（</w:t>
            </w:r>
            <w:r>
              <w:rPr>
                <w:rFonts w:ascii="宋体" w:hAnsi="宋体" w:eastAsia="宋体" w:cs="宋体"/>
                <w:b/>
                <w:bCs/>
                <w:color w:val="000000"/>
                <w:position w:val="8"/>
                <w:sz w:val="21"/>
                <w:szCs w:val="21"/>
              </w:rPr>
              <w:t>10</w:t>
            </w:r>
            <w:r>
              <w:rPr>
                <w:rFonts w:hint="eastAsia" w:ascii="宋体" w:hAnsi="宋体" w:eastAsia="宋体" w:cs="宋体"/>
                <w:b/>
                <w:bCs/>
                <w:color w:val="000000"/>
                <w:position w:val="8"/>
                <w:sz w:val="21"/>
                <w:szCs w:val="21"/>
              </w:rPr>
              <w:t>分）</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（填写数量及注册地）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074" w:type="dxa"/>
            <w:gridSpan w:val="3"/>
            <w:vAlign w:val="center"/>
          </w:tcPr>
          <w:p>
            <w:pPr>
              <w:adjustRightInd w:val="0"/>
              <w:snapToGrid w:val="0"/>
              <w:spacing w:line="460" w:lineRule="exact"/>
              <w:jc w:val="center"/>
              <w:rPr>
                <w:rFonts w:ascii="宋体" w:hAnsi="宋体" w:eastAsia="宋体"/>
                <w:b/>
                <w:bCs/>
                <w:color w:val="000000"/>
                <w:position w:val="8"/>
                <w:sz w:val="21"/>
                <w:szCs w:val="21"/>
              </w:rPr>
            </w:pPr>
            <w:r>
              <w:rPr>
                <w:rFonts w:hint="eastAsia" w:ascii="宋体" w:hAnsi="宋体" w:eastAsia="宋体" w:cs="宋体"/>
                <w:b/>
                <w:bCs/>
                <w:color w:val="000000"/>
                <w:position w:val="8"/>
                <w:sz w:val="21"/>
                <w:szCs w:val="21"/>
              </w:rPr>
              <w:t>社会评价（</w:t>
            </w:r>
            <w:r>
              <w:rPr>
                <w:rFonts w:ascii="宋体" w:hAnsi="宋体" w:eastAsia="宋体" w:cs="宋体"/>
                <w:b/>
                <w:bCs/>
                <w:color w:val="000000"/>
                <w:position w:val="8"/>
                <w:sz w:val="21"/>
                <w:szCs w:val="21"/>
              </w:rPr>
              <w:t>10</w:t>
            </w:r>
            <w:r>
              <w:rPr>
                <w:rFonts w:hint="eastAsia" w:ascii="宋体" w:hAnsi="宋体" w:eastAsia="宋体" w:cs="宋体"/>
                <w:b/>
                <w:bCs/>
                <w:color w:val="000000"/>
                <w:position w:val="8"/>
                <w:sz w:val="21"/>
                <w:szCs w:val="21"/>
              </w:rPr>
              <w:t>分）</w:t>
            </w:r>
          </w:p>
        </w:tc>
        <w:tc>
          <w:tcPr>
            <w:tcW w:w="3438" w:type="dxa"/>
            <w:vAlign w:val="center"/>
          </w:tcPr>
          <w:p>
            <w:pPr>
              <w:adjustRightInd w:val="0"/>
              <w:snapToGrid w:val="0"/>
              <w:spacing w:line="460" w:lineRule="exact"/>
              <w:rPr>
                <w:rFonts w:ascii="宋体" w:hAnsi="宋体" w:eastAsia="宋体"/>
                <w:color w:val="000000"/>
                <w:position w:val="8"/>
                <w:sz w:val="21"/>
                <w:szCs w:val="21"/>
              </w:rPr>
            </w:pPr>
            <w:r>
              <w:rPr>
                <w:rFonts w:hint="eastAsia" w:ascii="宋体" w:hAnsi="宋体" w:eastAsia="宋体" w:cs="宋体"/>
                <w:color w:val="000000"/>
                <w:position w:val="8"/>
                <w:sz w:val="21"/>
                <w:szCs w:val="21"/>
              </w:rPr>
              <w:t>（填写具体名称）</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512" w:type="dxa"/>
            <w:gridSpan w:val="4"/>
            <w:vAlign w:val="center"/>
          </w:tcPr>
          <w:p>
            <w:pPr>
              <w:adjustRightInd w:val="0"/>
              <w:snapToGrid w:val="0"/>
              <w:spacing w:line="460" w:lineRule="exact"/>
              <w:jc w:val="center"/>
              <w:rPr>
                <w:rFonts w:ascii="宋体" w:hAnsi="宋体" w:eastAsia="宋体"/>
                <w:b/>
                <w:bCs/>
                <w:color w:val="000000"/>
                <w:position w:val="10"/>
                <w:sz w:val="21"/>
                <w:szCs w:val="21"/>
              </w:rPr>
            </w:pPr>
            <w:r>
              <w:rPr>
                <w:rFonts w:ascii="宋体" w:hAnsi="宋体" w:eastAsia="宋体" w:cs="宋体"/>
                <w:b/>
                <w:bCs/>
                <w:color w:val="000000"/>
                <w:position w:val="10"/>
                <w:sz w:val="21"/>
                <w:szCs w:val="21"/>
              </w:rPr>
              <w:t xml:space="preserve"> </w:t>
            </w:r>
            <w:r>
              <w:rPr>
                <w:rFonts w:hint="eastAsia" w:ascii="宋体" w:hAnsi="宋体" w:eastAsia="宋体" w:cs="宋体"/>
                <w:b/>
                <w:bCs/>
                <w:color w:val="000000"/>
                <w:position w:val="10"/>
                <w:sz w:val="21"/>
                <w:szCs w:val="21"/>
              </w:rPr>
              <w:t>总</w:t>
            </w:r>
            <w:r>
              <w:rPr>
                <w:rFonts w:ascii="宋体" w:hAnsi="宋体" w:eastAsia="宋体" w:cs="宋体"/>
                <w:b/>
                <w:bCs/>
                <w:color w:val="000000"/>
                <w:position w:val="10"/>
                <w:sz w:val="21"/>
                <w:szCs w:val="21"/>
              </w:rPr>
              <w:t xml:space="preserve">    </w:t>
            </w:r>
            <w:r>
              <w:rPr>
                <w:rFonts w:hint="eastAsia" w:ascii="宋体" w:hAnsi="宋体" w:eastAsia="宋体" w:cs="宋体"/>
                <w:b/>
                <w:bCs/>
                <w:color w:val="000000"/>
                <w:position w:val="10"/>
                <w:sz w:val="21"/>
                <w:szCs w:val="21"/>
              </w:rPr>
              <w:t>分</w:t>
            </w:r>
          </w:p>
        </w:tc>
        <w:tc>
          <w:tcPr>
            <w:tcW w:w="1017" w:type="dxa"/>
            <w:vAlign w:val="center"/>
          </w:tcPr>
          <w:p>
            <w:pPr>
              <w:adjustRightInd w:val="0"/>
              <w:snapToGrid w:val="0"/>
              <w:spacing w:line="460" w:lineRule="exact"/>
              <w:rPr>
                <w:rFonts w:ascii="宋体" w:hAnsi="宋体" w:eastAsia="宋体"/>
                <w:color w:val="000000"/>
                <w:position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895" w:type="dxa"/>
            <w:gridSpan w:val="2"/>
            <w:vAlign w:val="center"/>
          </w:tcPr>
          <w:p>
            <w:pPr>
              <w:adjustRightInd w:val="0"/>
              <w:snapToGrid w:val="0"/>
              <w:spacing w:line="460" w:lineRule="exact"/>
              <w:rPr>
                <w:rFonts w:ascii="宋体" w:hAnsi="宋体" w:eastAsia="宋体"/>
                <w:color w:val="000000"/>
                <w:sz w:val="21"/>
                <w:szCs w:val="21"/>
              </w:rPr>
            </w:pPr>
            <w:r>
              <w:rPr>
                <w:rFonts w:hint="eastAsia" w:ascii="宋体" w:hAnsi="宋体" w:eastAsia="宋体" w:cs="宋体"/>
                <w:color w:val="000000"/>
                <w:sz w:val="21"/>
                <w:szCs w:val="21"/>
              </w:rPr>
              <w:t>企业法人代表签字：</w:t>
            </w:r>
          </w:p>
          <w:p>
            <w:pPr>
              <w:adjustRightInd w:val="0"/>
              <w:snapToGrid w:val="0"/>
              <w:spacing w:line="460" w:lineRule="exact"/>
              <w:rPr>
                <w:rFonts w:ascii="宋体" w:hAnsi="宋体" w:eastAsia="宋体"/>
                <w:color w:val="000000"/>
                <w:sz w:val="21"/>
                <w:szCs w:val="21"/>
              </w:rPr>
            </w:pPr>
          </w:p>
          <w:p>
            <w:pPr>
              <w:adjustRightInd w:val="0"/>
              <w:snapToGrid w:val="0"/>
              <w:spacing w:line="460" w:lineRule="exact"/>
              <w:rPr>
                <w:rFonts w:ascii="宋体" w:hAnsi="宋体" w:eastAsia="宋体"/>
                <w:color w:val="000000"/>
                <w:sz w:val="21"/>
                <w:szCs w:val="21"/>
              </w:rPr>
            </w:pPr>
          </w:p>
          <w:p>
            <w:pPr>
              <w:adjustRightInd w:val="0"/>
              <w:snapToGrid w:val="0"/>
              <w:spacing w:line="460" w:lineRule="exact"/>
              <w:rPr>
                <w:rFonts w:ascii="宋体" w:hAnsi="宋体" w:eastAsia="宋体"/>
                <w:color w:val="000000"/>
                <w:sz w:val="21"/>
                <w:szCs w:val="21"/>
              </w:rPr>
            </w:pPr>
          </w:p>
          <w:p>
            <w:pPr>
              <w:adjustRightInd w:val="0"/>
              <w:snapToGrid w:val="0"/>
              <w:spacing w:line="460" w:lineRule="exact"/>
              <w:rPr>
                <w:rFonts w:ascii="宋体" w:hAnsi="宋体" w:eastAsia="宋体"/>
                <w:color w:val="000000"/>
                <w:sz w:val="21"/>
                <w:szCs w:val="21"/>
              </w:rPr>
            </w:pPr>
            <w:r>
              <w:rPr>
                <w:rFonts w:ascii="宋体" w:hAnsi="宋体" w:eastAsia="宋体" w:cs="宋体"/>
                <w:color w:val="000000"/>
                <w:sz w:val="21"/>
                <w:szCs w:val="21"/>
              </w:rPr>
              <w:t xml:space="preserve">                </w:t>
            </w:r>
            <w:r>
              <w:rPr>
                <w:rFonts w:hint="eastAsia" w:ascii="宋体" w:hAnsi="宋体" w:eastAsia="宋体" w:cs="宋体"/>
                <w:color w:val="000000"/>
                <w:sz w:val="21"/>
                <w:szCs w:val="21"/>
              </w:rPr>
              <w:t>（企业盖章）</w:t>
            </w:r>
          </w:p>
          <w:p>
            <w:pPr>
              <w:adjustRightInd w:val="0"/>
              <w:snapToGrid w:val="0"/>
              <w:spacing w:line="460" w:lineRule="exact"/>
              <w:rPr>
                <w:rFonts w:ascii="宋体" w:hAnsi="宋体" w:eastAsia="宋体"/>
                <w:color w:val="000000"/>
                <w:sz w:val="21"/>
                <w:szCs w:val="21"/>
              </w:rPr>
            </w:pPr>
            <w:r>
              <w:rPr>
                <w:rFonts w:ascii="宋体" w:hAnsi="宋体" w:eastAsia="宋体" w:cs="宋体"/>
                <w:color w:val="000000"/>
                <w:sz w:val="21"/>
                <w:szCs w:val="21"/>
              </w:rPr>
              <w:t xml:space="preserve">                 </w:t>
            </w:r>
            <w:r>
              <w:rPr>
                <w:rFonts w:hint="eastAsia" w:ascii="宋体" w:hAnsi="宋体" w:eastAsia="宋体" w:cs="宋体"/>
                <w:color w:val="000000"/>
                <w:sz w:val="21"/>
                <w:szCs w:val="21"/>
              </w:rPr>
              <w:t>年</w:t>
            </w:r>
            <w:r>
              <w:rPr>
                <w:rFonts w:ascii="宋体" w:hAnsi="宋体" w:eastAsia="宋体" w:cs="宋体"/>
                <w:color w:val="000000"/>
                <w:sz w:val="21"/>
                <w:szCs w:val="21"/>
              </w:rPr>
              <w:t xml:space="preserve">  </w:t>
            </w:r>
            <w:r>
              <w:rPr>
                <w:rFonts w:hint="eastAsia" w:ascii="宋体" w:hAnsi="宋体" w:eastAsia="宋体" w:cs="宋体"/>
                <w:color w:val="000000"/>
                <w:sz w:val="21"/>
                <w:szCs w:val="21"/>
              </w:rPr>
              <w:t>月</w:t>
            </w:r>
            <w:r>
              <w:rPr>
                <w:rFonts w:ascii="宋体" w:hAnsi="宋体" w:eastAsia="宋体" w:cs="宋体"/>
                <w:color w:val="000000"/>
                <w:sz w:val="21"/>
                <w:szCs w:val="21"/>
              </w:rPr>
              <w:t xml:space="preserve">  </w:t>
            </w:r>
            <w:r>
              <w:rPr>
                <w:rFonts w:hint="eastAsia" w:ascii="宋体" w:hAnsi="宋体" w:eastAsia="宋体" w:cs="宋体"/>
                <w:color w:val="000000"/>
                <w:sz w:val="21"/>
                <w:szCs w:val="21"/>
              </w:rPr>
              <w:t>日</w:t>
            </w:r>
          </w:p>
        </w:tc>
        <w:tc>
          <w:tcPr>
            <w:tcW w:w="4634" w:type="dxa"/>
            <w:gridSpan w:val="3"/>
            <w:vAlign w:val="center"/>
          </w:tcPr>
          <w:p>
            <w:pPr>
              <w:adjustRightInd w:val="0"/>
              <w:snapToGrid w:val="0"/>
              <w:spacing w:line="460" w:lineRule="exact"/>
              <w:rPr>
                <w:rFonts w:ascii="宋体" w:hAnsi="宋体" w:eastAsia="宋体"/>
                <w:color w:val="000000"/>
                <w:sz w:val="21"/>
                <w:szCs w:val="21"/>
              </w:rPr>
            </w:pPr>
            <w:r>
              <w:rPr>
                <w:rFonts w:hint="eastAsia" w:ascii="宋体" w:hAnsi="宋体" w:eastAsia="宋体" w:cs="宋体"/>
                <w:color w:val="000000"/>
                <w:sz w:val="21"/>
                <w:szCs w:val="21"/>
              </w:rPr>
              <w:t>区县（市）商务主管部门初审意见</w:t>
            </w:r>
          </w:p>
          <w:p>
            <w:pPr>
              <w:adjustRightInd w:val="0"/>
              <w:snapToGrid w:val="0"/>
              <w:spacing w:line="460" w:lineRule="exact"/>
              <w:rPr>
                <w:rFonts w:ascii="宋体" w:hAnsi="宋体" w:eastAsia="宋体"/>
                <w:color w:val="000000"/>
                <w:sz w:val="21"/>
                <w:szCs w:val="21"/>
              </w:rPr>
            </w:pPr>
          </w:p>
          <w:p>
            <w:pPr>
              <w:adjustRightInd w:val="0"/>
              <w:snapToGrid w:val="0"/>
              <w:spacing w:line="460" w:lineRule="exact"/>
              <w:rPr>
                <w:rFonts w:ascii="宋体" w:hAnsi="宋体" w:eastAsia="宋体"/>
                <w:color w:val="000000"/>
                <w:sz w:val="21"/>
                <w:szCs w:val="21"/>
              </w:rPr>
            </w:pPr>
            <w:r>
              <w:rPr>
                <w:rFonts w:hint="eastAsia" w:ascii="宋体" w:hAnsi="宋体" w:eastAsia="宋体" w:cs="宋体"/>
                <w:color w:val="000000"/>
                <w:sz w:val="21"/>
                <w:szCs w:val="21"/>
              </w:rPr>
              <w:t>联</w:t>
            </w:r>
            <w:r>
              <w:rPr>
                <w:rFonts w:ascii="宋体" w:hAnsi="宋体" w:eastAsia="宋体" w:cs="宋体"/>
                <w:color w:val="000000"/>
                <w:sz w:val="21"/>
                <w:szCs w:val="21"/>
              </w:rPr>
              <w:t xml:space="preserve"> </w:t>
            </w:r>
            <w:r>
              <w:rPr>
                <w:rFonts w:hint="eastAsia" w:ascii="宋体" w:hAnsi="宋体" w:eastAsia="宋体" w:cs="宋体"/>
                <w:color w:val="000000"/>
                <w:sz w:val="21"/>
                <w:szCs w:val="21"/>
              </w:rPr>
              <w:t>系</w:t>
            </w:r>
            <w:r>
              <w:rPr>
                <w:rFonts w:ascii="宋体" w:hAnsi="宋体" w:eastAsia="宋体" w:cs="宋体"/>
                <w:color w:val="000000"/>
                <w:sz w:val="21"/>
                <w:szCs w:val="21"/>
              </w:rPr>
              <w:t xml:space="preserve"> </w:t>
            </w:r>
            <w:r>
              <w:rPr>
                <w:rFonts w:hint="eastAsia" w:ascii="宋体" w:hAnsi="宋体" w:eastAsia="宋体" w:cs="宋体"/>
                <w:color w:val="000000"/>
                <w:sz w:val="21"/>
                <w:szCs w:val="21"/>
              </w:rPr>
              <w:t>人：</w:t>
            </w:r>
          </w:p>
          <w:p>
            <w:pPr>
              <w:adjustRightInd w:val="0"/>
              <w:snapToGrid w:val="0"/>
              <w:spacing w:line="460" w:lineRule="exact"/>
              <w:rPr>
                <w:rFonts w:ascii="宋体" w:hAnsi="宋体" w:eastAsia="宋体"/>
                <w:color w:val="000000"/>
                <w:sz w:val="21"/>
                <w:szCs w:val="21"/>
              </w:rPr>
            </w:pPr>
            <w:r>
              <w:rPr>
                <w:rFonts w:hint="eastAsia" w:ascii="宋体" w:hAnsi="宋体" w:eastAsia="宋体" w:cs="宋体"/>
                <w:color w:val="000000"/>
                <w:sz w:val="21"/>
                <w:szCs w:val="21"/>
              </w:rPr>
              <w:t>电</w:t>
            </w:r>
            <w:r>
              <w:rPr>
                <w:rFonts w:ascii="宋体" w:hAnsi="宋体" w:eastAsia="宋体" w:cs="宋体"/>
                <w:color w:val="000000"/>
                <w:sz w:val="21"/>
                <w:szCs w:val="21"/>
              </w:rPr>
              <w:t xml:space="preserve">    </w:t>
            </w:r>
            <w:r>
              <w:rPr>
                <w:rFonts w:hint="eastAsia" w:ascii="宋体" w:hAnsi="宋体" w:eastAsia="宋体" w:cs="宋体"/>
                <w:color w:val="000000"/>
                <w:sz w:val="21"/>
                <w:szCs w:val="21"/>
              </w:rPr>
              <w:t>话：</w:t>
            </w:r>
          </w:p>
          <w:p>
            <w:pPr>
              <w:adjustRightInd w:val="0"/>
              <w:snapToGrid w:val="0"/>
              <w:spacing w:line="460" w:lineRule="exact"/>
              <w:rPr>
                <w:rFonts w:ascii="宋体" w:hAnsi="宋体" w:eastAsia="宋体"/>
                <w:color w:val="000000"/>
                <w:sz w:val="21"/>
                <w:szCs w:val="21"/>
              </w:rPr>
            </w:pPr>
            <w:r>
              <w:rPr>
                <w:rFonts w:hint="eastAsia" w:ascii="宋体" w:hAnsi="宋体" w:eastAsia="宋体" w:cs="宋体"/>
                <w:color w:val="000000"/>
                <w:sz w:val="21"/>
                <w:szCs w:val="21"/>
              </w:rPr>
              <w:t>电子邮件：</w:t>
            </w:r>
          </w:p>
          <w:p>
            <w:pPr>
              <w:adjustRightInd w:val="0"/>
              <w:snapToGrid w:val="0"/>
              <w:spacing w:line="460" w:lineRule="exact"/>
              <w:rPr>
                <w:rFonts w:ascii="宋体" w:hAnsi="宋体" w:eastAsia="宋体"/>
                <w:color w:val="000000"/>
                <w:sz w:val="21"/>
                <w:szCs w:val="21"/>
              </w:rPr>
            </w:pPr>
            <w:r>
              <w:rPr>
                <w:rFonts w:ascii="宋体" w:hAnsi="宋体" w:eastAsia="宋体" w:cs="宋体"/>
                <w:color w:val="000000"/>
                <w:sz w:val="21"/>
                <w:szCs w:val="21"/>
              </w:rPr>
              <w:t xml:space="preserve">                        </w:t>
            </w:r>
            <w:r>
              <w:rPr>
                <w:rFonts w:hint="eastAsia" w:ascii="宋体" w:hAnsi="宋体" w:eastAsia="宋体" w:cs="宋体"/>
                <w:color w:val="000000"/>
                <w:sz w:val="21"/>
                <w:szCs w:val="21"/>
              </w:rPr>
              <w:t>（盖章）</w:t>
            </w:r>
          </w:p>
        </w:tc>
      </w:tr>
    </w:tbl>
    <w:p>
      <w:pPr>
        <w:spacing w:line="600" w:lineRule="exact"/>
        <w:ind w:right="480"/>
        <w:rPr>
          <w:color w:val="000000"/>
          <w:kern w:val="0"/>
        </w:rPr>
      </w:pPr>
    </w:p>
    <w:p>
      <w:pPr>
        <w:spacing w:line="600" w:lineRule="exact"/>
        <w:ind w:right="480"/>
        <w:rPr>
          <w:color w:val="000000"/>
          <w:kern w:val="0"/>
        </w:rPr>
      </w:pPr>
      <w:r>
        <w:rPr>
          <w:rFonts w:hint="eastAsia" w:ascii="仿宋_GB2312" w:cs="仿宋_GB2312"/>
          <w:sz w:val="28"/>
          <w:szCs w:val="28"/>
        </w:rPr>
        <w:t>备注：得分栏由区县（市）商务主管部门打分。</w:t>
      </w:r>
      <w:r>
        <w:rPr>
          <w:color w:val="000000"/>
          <w:kern w:val="0"/>
        </w:rPr>
        <w:t xml:space="preserve">                                                      </w:t>
      </w:r>
    </w:p>
    <w:p>
      <w:pPr>
        <w:rPr>
          <w:rFonts w:eastAsia="黑体"/>
          <w:color w:val="000000"/>
        </w:rPr>
      </w:pPr>
      <w:r>
        <w:rPr>
          <w:rFonts w:hint="eastAsia" w:eastAsia="黑体" w:cs="黑体"/>
          <w:color w:val="000000"/>
        </w:rPr>
        <w:t>附件</w:t>
      </w:r>
      <w:r>
        <w:rPr>
          <w:rFonts w:eastAsia="黑体"/>
          <w:color w:val="000000"/>
        </w:rPr>
        <w:t>6</w:t>
      </w:r>
    </w:p>
    <w:p>
      <w:pPr>
        <w:autoSpaceDE w:val="0"/>
        <w:autoSpaceDN w:val="0"/>
        <w:jc w:val="center"/>
        <w:rPr>
          <w:rFonts w:ascii="创艺简标宋" w:eastAsia="创艺简标宋"/>
          <w:color w:val="000000"/>
          <w:kern w:val="0"/>
          <w:sz w:val="36"/>
          <w:szCs w:val="36"/>
        </w:rPr>
      </w:pPr>
      <w:r>
        <w:rPr>
          <w:rFonts w:hint="eastAsia" w:ascii="创艺简标宋" w:hAnsi="宋体" w:eastAsia="创艺简标宋" w:cs="创艺简标宋"/>
          <w:color w:val="000000"/>
          <w:kern w:val="0"/>
          <w:sz w:val="36"/>
          <w:szCs w:val="36"/>
        </w:rPr>
        <w:t>申报品牌项下商品上年度出口情况统计表</w:t>
      </w:r>
    </w:p>
    <w:p>
      <w:pPr>
        <w:spacing w:line="600" w:lineRule="exact"/>
        <w:ind w:right="-57"/>
        <w:rPr>
          <w:rFonts w:ascii="宋体" w:eastAsia="宋体"/>
          <w:b/>
          <w:bCs/>
          <w:color w:val="000000"/>
          <w:sz w:val="36"/>
          <w:szCs w:val="36"/>
        </w:rPr>
      </w:pPr>
    </w:p>
    <w:p>
      <w:pPr>
        <w:autoSpaceDE w:val="0"/>
        <w:autoSpaceDN w:val="0"/>
        <w:adjustRightInd w:val="0"/>
        <w:snapToGrid w:val="0"/>
        <w:spacing w:line="600" w:lineRule="exact"/>
        <w:rPr>
          <w:rFonts w:ascii="宋体" w:hAnsi="宋体" w:eastAsia="宋体" w:cs="宋体"/>
          <w:color w:val="000000"/>
          <w:kern w:val="0"/>
          <w:sz w:val="28"/>
          <w:szCs w:val="28"/>
        </w:rPr>
      </w:pPr>
      <w:r>
        <w:rPr>
          <w:rFonts w:hint="eastAsia" w:ascii="宋体" w:hAnsi="宋体" w:eastAsia="宋体" w:cs="宋体"/>
          <w:color w:val="000000"/>
          <w:kern w:val="0"/>
          <w:sz w:val="28"/>
          <w:szCs w:val="28"/>
        </w:rPr>
        <w:t>企业名称（盖章）：</w:t>
      </w:r>
      <w:r>
        <w:rPr>
          <w:rFonts w:ascii="宋体" w:hAnsi="宋体" w:eastAsia="宋体"/>
          <w:color w:val="000000"/>
          <w:kern w:val="0"/>
          <w:sz w:val="28"/>
          <w:szCs w:val="28"/>
        </w:rPr>
        <w:tab/>
      </w:r>
      <w:r>
        <w:rPr>
          <w:rFonts w:ascii="宋体" w:hAnsi="宋体" w:eastAsia="宋体"/>
          <w:color w:val="000000"/>
          <w:kern w:val="0"/>
          <w:sz w:val="28"/>
          <w:szCs w:val="28"/>
        </w:rPr>
        <w:tab/>
      </w:r>
      <w:r>
        <w:rPr>
          <w:rFonts w:ascii="宋体" w:hAnsi="宋体" w:eastAsia="宋体"/>
          <w:color w:val="000000"/>
          <w:kern w:val="0"/>
          <w:sz w:val="28"/>
          <w:szCs w:val="28"/>
        </w:rPr>
        <w:tab/>
      </w:r>
      <w:r>
        <w:rPr>
          <w:rFonts w:ascii="宋体" w:hAnsi="宋体" w:eastAsia="宋体"/>
          <w:color w:val="000000"/>
          <w:kern w:val="0"/>
          <w:sz w:val="28"/>
          <w:szCs w:val="28"/>
        </w:rPr>
        <w:tab/>
      </w:r>
      <w:r>
        <w:rPr>
          <w:rFonts w:ascii="宋体" w:hAnsi="宋体" w:eastAsia="宋体"/>
          <w:color w:val="000000"/>
          <w:kern w:val="0"/>
          <w:sz w:val="28"/>
          <w:szCs w:val="28"/>
        </w:rPr>
        <w:tab/>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申报品牌：</w:t>
      </w:r>
      <w:r>
        <w:rPr>
          <w:rFonts w:ascii="宋体" w:hAnsi="宋体" w:eastAsia="宋体" w:cs="宋体"/>
          <w:color w:val="000000"/>
          <w:kern w:val="0"/>
          <w:sz w:val="28"/>
          <w:szCs w:val="28"/>
        </w:rPr>
        <w:t xml:space="preserve"> </w:t>
      </w:r>
    </w:p>
    <w:tbl>
      <w:tblPr>
        <w:tblStyle w:val="11"/>
        <w:tblW w:w="9240" w:type="dxa"/>
        <w:jc w:val="center"/>
        <w:tblInd w:w="0" w:type="dxa"/>
        <w:tblLayout w:type="fixed"/>
        <w:tblCellMar>
          <w:top w:w="0" w:type="dxa"/>
          <w:left w:w="108" w:type="dxa"/>
          <w:bottom w:w="0" w:type="dxa"/>
          <w:right w:w="108" w:type="dxa"/>
        </w:tblCellMar>
      </w:tblPr>
      <w:tblGrid>
        <w:gridCol w:w="1696"/>
        <w:gridCol w:w="1527"/>
        <w:gridCol w:w="1293"/>
        <w:gridCol w:w="14"/>
        <w:gridCol w:w="950"/>
        <w:gridCol w:w="1562"/>
        <w:gridCol w:w="1308"/>
        <w:gridCol w:w="890"/>
      </w:tblGrid>
      <w:tr>
        <w:tblPrEx>
          <w:tblLayout w:type="fixed"/>
          <w:tblCellMar>
            <w:top w:w="0" w:type="dxa"/>
            <w:left w:w="108" w:type="dxa"/>
            <w:bottom w:w="0" w:type="dxa"/>
            <w:right w:w="108" w:type="dxa"/>
          </w:tblCellMar>
        </w:tblPrEx>
        <w:trPr>
          <w:trHeight w:val="615"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pacing w:line="480" w:lineRule="exact"/>
              <w:rPr>
                <w:rFonts w:ascii="宋体" w:hAnsi="宋体" w:eastAsia="宋体"/>
                <w:color w:val="000000"/>
                <w:kern w:val="0"/>
                <w:sz w:val="24"/>
                <w:szCs w:val="24"/>
              </w:rPr>
            </w:pPr>
          </w:p>
        </w:tc>
        <w:tc>
          <w:tcPr>
            <w:tcW w:w="3784" w:type="dxa"/>
            <w:gridSpan w:val="4"/>
            <w:tcBorders>
              <w:top w:val="single" w:color="auto" w:sz="4" w:space="0"/>
              <w:left w:val="nil"/>
              <w:bottom w:val="single" w:color="auto" w:sz="4" w:space="0"/>
              <w:right w:val="single" w:color="000000"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出口总额</w:t>
            </w:r>
          </w:p>
        </w:tc>
        <w:tc>
          <w:tcPr>
            <w:tcW w:w="3760" w:type="dxa"/>
            <w:gridSpan w:val="3"/>
            <w:tcBorders>
              <w:top w:val="single" w:color="auto" w:sz="4" w:space="0"/>
              <w:left w:val="nil"/>
              <w:bottom w:val="single" w:color="auto" w:sz="4" w:space="0"/>
              <w:right w:val="single" w:color="auto" w:sz="4" w:space="0"/>
            </w:tcBorders>
            <w:vAlign w:val="center"/>
          </w:tcPr>
          <w:p>
            <w:pPr>
              <w:widowControl/>
              <w:adjustRightInd w:val="0"/>
              <w:spacing w:line="480" w:lineRule="exact"/>
              <w:rPr>
                <w:rFonts w:ascii="宋体" w:hAnsi="宋体" w:eastAsia="宋体" w:cs="宋体"/>
                <w:b/>
                <w:bCs/>
                <w:color w:val="000000"/>
                <w:kern w:val="0"/>
                <w:sz w:val="24"/>
                <w:szCs w:val="24"/>
                <w:u w:val="single"/>
              </w:rPr>
            </w:pPr>
            <w:r>
              <w:rPr>
                <w:rFonts w:hint="eastAsia" w:ascii="宋体" w:hAnsi="宋体" w:eastAsia="宋体" w:cs="宋体"/>
                <w:b/>
                <w:bCs/>
                <w:color w:val="000000"/>
                <w:kern w:val="0"/>
                <w:sz w:val="24"/>
                <w:szCs w:val="24"/>
              </w:rPr>
              <w:t>申报品牌商品</w:t>
            </w:r>
            <w:r>
              <w:rPr>
                <w:rFonts w:ascii="宋体" w:hAnsi="宋体" w:eastAsia="宋体" w:cs="宋体"/>
                <w:b/>
                <w:bCs/>
                <w:color w:val="000000"/>
                <w:kern w:val="0"/>
                <w:sz w:val="24"/>
                <w:szCs w:val="24"/>
                <w:u w:val="single"/>
              </w:rPr>
              <w:t xml:space="preserve">                </w:t>
            </w:r>
          </w:p>
          <w:p>
            <w:pPr>
              <w:widowControl/>
              <w:adjustRightInd w:val="0"/>
              <w:spacing w:line="480" w:lineRule="exact"/>
              <w:jc w:val="center"/>
              <w:rPr>
                <w:rFonts w:ascii="宋体" w:hAnsi="宋体" w:eastAsia="宋体"/>
                <w:b/>
                <w:bCs/>
                <w:color w:val="000000"/>
                <w:kern w:val="0"/>
                <w:sz w:val="24"/>
                <w:szCs w:val="24"/>
                <w:u w:val="single"/>
              </w:rPr>
            </w:pPr>
            <w:r>
              <w:rPr>
                <w:rFonts w:hint="eastAsia" w:ascii="宋体" w:hAnsi="宋体" w:eastAsia="宋体" w:cs="宋体"/>
                <w:b/>
                <w:bCs/>
                <w:color w:val="000000"/>
                <w:kern w:val="0"/>
                <w:sz w:val="24"/>
                <w:szCs w:val="24"/>
              </w:rPr>
              <w:t>项下出口</w:t>
            </w:r>
          </w:p>
        </w:tc>
      </w:tr>
      <w:tr>
        <w:tblPrEx>
          <w:tblLayout w:type="fixed"/>
          <w:tblCellMar>
            <w:top w:w="0" w:type="dxa"/>
            <w:left w:w="108" w:type="dxa"/>
            <w:bottom w:w="0" w:type="dxa"/>
            <w:right w:w="108" w:type="dxa"/>
          </w:tblCellMar>
        </w:tblPrEx>
        <w:trPr>
          <w:trHeight w:val="735"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kern w:val="0"/>
                <w:sz w:val="24"/>
                <w:szCs w:val="24"/>
              </w:rPr>
            </w:pPr>
          </w:p>
        </w:tc>
        <w:tc>
          <w:tcPr>
            <w:tcW w:w="1527" w:type="dxa"/>
            <w:tcBorders>
              <w:top w:val="nil"/>
              <w:left w:val="nil"/>
              <w:bottom w:val="single" w:color="auto" w:sz="4" w:space="0"/>
              <w:right w:val="single" w:color="auto" w:sz="4" w:space="0"/>
            </w:tcBorders>
            <w:vAlign w:val="center"/>
          </w:tcPr>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金额</w:t>
            </w:r>
          </w:p>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（万美元）</w:t>
            </w:r>
          </w:p>
        </w:tc>
        <w:tc>
          <w:tcPr>
            <w:tcW w:w="1293" w:type="dxa"/>
            <w:tcBorders>
              <w:top w:val="nil"/>
              <w:left w:val="nil"/>
              <w:bottom w:val="nil"/>
              <w:right w:val="single" w:color="auto" w:sz="4" w:space="0"/>
            </w:tcBorders>
            <w:vAlign w:val="center"/>
          </w:tcPr>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与上年</w:t>
            </w:r>
          </w:p>
          <w:p>
            <w:pPr>
              <w:widowControl/>
              <w:adjustRightInd w:val="0"/>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同比±</w:t>
            </w:r>
            <w:r>
              <w:rPr>
                <w:rFonts w:ascii="宋体" w:hAnsi="宋体" w:eastAsia="宋体" w:cs="宋体"/>
                <w:b/>
                <w:bCs/>
                <w:color w:val="000000"/>
                <w:kern w:val="0"/>
                <w:sz w:val="24"/>
                <w:szCs w:val="24"/>
              </w:rPr>
              <w:t>%</w:t>
            </w:r>
          </w:p>
        </w:tc>
        <w:tc>
          <w:tcPr>
            <w:tcW w:w="964" w:type="dxa"/>
            <w:gridSpan w:val="2"/>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比重</w:t>
            </w:r>
          </w:p>
        </w:tc>
        <w:tc>
          <w:tcPr>
            <w:tcW w:w="1562" w:type="dxa"/>
            <w:tcBorders>
              <w:top w:val="nil"/>
              <w:left w:val="single" w:color="auto" w:sz="4" w:space="0"/>
              <w:bottom w:val="single" w:color="auto" w:sz="4" w:space="0"/>
              <w:right w:val="single" w:color="auto" w:sz="4" w:space="0"/>
            </w:tcBorders>
            <w:vAlign w:val="center"/>
          </w:tcPr>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金额</w:t>
            </w:r>
          </w:p>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（万美元）</w:t>
            </w:r>
          </w:p>
        </w:tc>
        <w:tc>
          <w:tcPr>
            <w:tcW w:w="1308" w:type="dxa"/>
            <w:tcBorders>
              <w:top w:val="nil"/>
              <w:left w:val="nil"/>
              <w:bottom w:val="single" w:color="auto" w:sz="4" w:space="0"/>
              <w:right w:val="single" w:color="auto" w:sz="4" w:space="0"/>
            </w:tcBorders>
            <w:vAlign w:val="center"/>
          </w:tcPr>
          <w:p>
            <w:pPr>
              <w:widowControl/>
              <w:adjustRightInd w:val="0"/>
              <w:spacing w:line="32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与上年</w:t>
            </w:r>
          </w:p>
          <w:p>
            <w:pPr>
              <w:widowControl/>
              <w:adjustRightInd w:val="0"/>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同比±</w:t>
            </w:r>
            <w:r>
              <w:rPr>
                <w:rFonts w:ascii="宋体" w:hAnsi="宋体" w:eastAsia="宋体" w:cs="宋体"/>
                <w:b/>
                <w:bCs/>
                <w:color w:val="000000"/>
                <w:kern w:val="0"/>
                <w:sz w:val="24"/>
                <w:szCs w:val="24"/>
              </w:rPr>
              <w:t>%</w:t>
            </w: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比重</w:t>
            </w:r>
          </w:p>
        </w:tc>
      </w:tr>
      <w:tr>
        <w:tblPrEx>
          <w:tblLayout w:type="fixed"/>
          <w:tblCellMar>
            <w:top w:w="0" w:type="dxa"/>
            <w:left w:w="108" w:type="dxa"/>
            <w:bottom w:w="0" w:type="dxa"/>
            <w:right w:w="108" w:type="dxa"/>
          </w:tblCellMar>
        </w:tblPrEx>
        <w:trPr>
          <w:trHeight w:val="615" w:hRule="atLeast"/>
          <w:jc w:val="center"/>
        </w:trPr>
        <w:tc>
          <w:tcPr>
            <w:tcW w:w="1696" w:type="dxa"/>
            <w:tcBorders>
              <w:top w:val="nil"/>
              <w:left w:val="single" w:color="auto" w:sz="4" w:space="0"/>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合计</w:t>
            </w:r>
          </w:p>
        </w:tc>
        <w:tc>
          <w:tcPr>
            <w:tcW w:w="1527"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293" w:type="dxa"/>
            <w:tcBorders>
              <w:top w:val="single" w:color="auto" w:sz="4" w:space="0"/>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964" w:type="dxa"/>
            <w:gridSpan w:val="2"/>
            <w:tcBorders>
              <w:top w:val="single" w:color="auto" w:sz="4" w:space="0"/>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562"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308"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r>
      <w:tr>
        <w:tblPrEx>
          <w:tblLayout w:type="fixed"/>
          <w:tblCellMar>
            <w:top w:w="0" w:type="dxa"/>
            <w:left w:w="108" w:type="dxa"/>
            <w:bottom w:w="0" w:type="dxa"/>
            <w:right w:w="108" w:type="dxa"/>
          </w:tblCellMar>
        </w:tblPrEx>
        <w:trPr>
          <w:trHeight w:val="615" w:hRule="atLeast"/>
          <w:jc w:val="center"/>
        </w:trPr>
        <w:tc>
          <w:tcPr>
            <w:tcW w:w="1696" w:type="dxa"/>
            <w:tcBorders>
              <w:top w:val="nil"/>
              <w:left w:val="single" w:color="auto" w:sz="4" w:space="0"/>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国别</w:t>
            </w:r>
          </w:p>
        </w:tc>
        <w:tc>
          <w:tcPr>
            <w:tcW w:w="1527"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293"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964" w:type="dxa"/>
            <w:gridSpan w:val="2"/>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562"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308"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r>
      <w:tr>
        <w:tblPrEx>
          <w:tblLayout w:type="fixed"/>
          <w:tblCellMar>
            <w:top w:w="0" w:type="dxa"/>
            <w:left w:w="108" w:type="dxa"/>
            <w:bottom w:w="0" w:type="dxa"/>
            <w:right w:w="108" w:type="dxa"/>
          </w:tblCellMar>
        </w:tblPrEx>
        <w:trPr>
          <w:trHeight w:val="615" w:hRule="atLeast"/>
          <w:jc w:val="center"/>
        </w:trPr>
        <w:tc>
          <w:tcPr>
            <w:tcW w:w="1696" w:type="dxa"/>
            <w:tcBorders>
              <w:top w:val="nil"/>
              <w:left w:val="single" w:color="auto" w:sz="4" w:space="0"/>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国别</w:t>
            </w:r>
          </w:p>
        </w:tc>
        <w:tc>
          <w:tcPr>
            <w:tcW w:w="1527"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293"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964" w:type="dxa"/>
            <w:gridSpan w:val="2"/>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562"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308"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r>
      <w:tr>
        <w:tblPrEx>
          <w:tblLayout w:type="fixed"/>
          <w:tblCellMar>
            <w:top w:w="0" w:type="dxa"/>
            <w:left w:w="108" w:type="dxa"/>
            <w:bottom w:w="0" w:type="dxa"/>
            <w:right w:w="108" w:type="dxa"/>
          </w:tblCellMar>
        </w:tblPrEx>
        <w:trPr>
          <w:trHeight w:val="615" w:hRule="atLeast"/>
          <w:jc w:val="center"/>
        </w:trPr>
        <w:tc>
          <w:tcPr>
            <w:tcW w:w="1696" w:type="dxa"/>
            <w:tcBorders>
              <w:top w:val="nil"/>
              <w:left w:val="single" w:color="auto" w:sz="4" w:space="0"/>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r>
              <w:rPr>
                <w:rFonts w:hint="eastAsia" w:ascii="宋体" w:hAnsi="宋体" w:eastAsia="宋体" w:cs="宋体"/>
                <w:b/>
                <w:bCs/>
                <w:color w:val="000000"/>
                <w:kern w:val="0"/>
                <w:sz w:val="24"/>
                <w:szCs w:val="24"/>
              </w:rPr>
              <w:t>国别</w:t>
            </w:r>
          </w:p>
        </w:tc>
        <w:tc>
          <w:tcPr>
            <w:tcW w:w="1527"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293"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964" w:type="dxa"/>
            <w:gridSpan w:val="2"/>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562"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308"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r>
      <w:tr>
        <w:tblPrEx>
          <w:tblLayout w:type="fixed"/>
          <w:tblCellMar>
            <w:top w:w="0" w:type="dxa"/>
            <w:left w:w="108" w:type="dxa"/>
            <w:bottom w:w="0" w:type="dxa"/>
            <w:right w:w="108" w:type="dxa"/>
          </w:tblCellMar>
        </w:tblPrEx>
        <w:trPr>
          <w:trHeight w:val="615" w:hRule="atLeast"/>
          <w:jc w:val="center"/>
        </w:trPr>
        <w:tc>
          <w:tcPr>
            <w:tcW w:w="1696" w:type="dxa"/>
            <w:tcBorders>
              <w:top w:val="nil"/>
              <w:left w:val="single" w:color="auto" w:sz="4" w:space="0"/>
              <w:bottom w:val="single" w:color="auto" w:sz="4" w:space="0"/>
              <w:right w:val="single" w:color="auto" w:sz="4" w:space="0"/>
            </w:tcBorders>
            <w:vAlign w:val="center"/>
          </w:tcPr>
          <w:p>
            <w:pPr>
              <w:widowControl/>
              <w:adjustRightInd w:val="0"/>
              <w:spacing w:line="480" w:lineRule="exact"/>
              <w:jc w:val="center"/>
              <w:rPr>
                <w:rFonts w:ascii="宋体" w:hAnsi="宋体" w:eastAsia="宋体"/>
                <w:b/>
                <w:bCs/>
                <w:color w:val="000000"/>
                <w:kern w:val="0"/>
                <w:sz w:val="24"/>
                <w:szCs w:val="24"/>
              </w:rPr>
            </w:pPr>
          </w:p>
        </w:tc>
        <w:tc>
          <w:tcPr>
            <w:tcW w:w="1527"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293"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964" w:type="dxa"/>
            <w:gridSpan w:val="2"/>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562"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1308"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c>
          <w:tcPr>
            <w:tcW w:w="890" w:type="dxa"/>
            <w:tcBorders>
              <w:top w:val="nil"/>
              <w:left w:val="nil"/>
              <w:bottom w:val="single" w:color="auto" w:sz="4" w:space="0"/>
              <w:right w:val="single" w:color="auto" w:sz="4" w:space="0"/>
            </w:tcBorders>
            <w:vAlign w:val="center"/>
          </w:tcPr>
          <w:p>
            <w:pPr>
              <w:widowControl/>
              <w:adjustRightInd w:val="0"/>
              <w:spacing w:line="480" w:lineRule="exact"/>
              <w:jc w:val="center"/>
              <w:rPr>
                <w:rFonts w:ascii="宋体" w:hAnsi="宋体" w:eastAsia="宋体"/>
                <w:color w:val="000000"/>
                <w:kern w:val="0"/>
                <w:sz w:val="24"/>
                <w:szCs w:val="24"/>
              </w:rPr>
            </w:pPr>
          </w:p>
        </w:tc>
      </w:tr>
      <w:tr>
        <w:tblPrEx>
          <w:tblLayout w:type="fixed"/>
          <w:tblCellMar>
            <w:top w:w="0" w:type="dxa"/>
            <w:left w:w="108" w:type="dxa"/>
            <w:bottom w:w="0" w:type="dxa"/>
            <w:right w:w="108" w:type="dxa"/>
          </w:tblCellMar>
        </w:tblPrEx>
        <w:trPr>
          <w:trHeight w:val="3745" w:hRule="atLeast"/>
          <w:jc w:val="center"/>
        </w:trPr>
        <w:tc>
          <w:tcPr>
            <w:tcW w:w="4530" w:type="dxa"/>
            <w:gridSpan w:val="4"/>
            <w:tcBorders>
              <w:top w:val="single" w:color="auto" w:sz="4" w:space="0"/>
              <w:left w:val="single" w:color="auto" w:sz="4" w:space="0"/>
              <w:bottom w:val="single" w:color="auto" w:sz="4" w:space="0"/>
              <w:right w:val="single" w:color="auto" w:sz="4" w:space="0"/>
            </w:tcBorders>
          </w:tcPr>
          <w:p>
            <w:pPr>
              <w:adjustRightInd w:val="0"/>
              <w:spacing w:line="480" w:lineRule="exact"/>
              <w:rPr>
                <w:rFonts w:ascii="宋体" w:hAnsi="宋体" w:eastAsia="宋体"/>
                <w:color w:val="000000"/>
                <w:kern w:val="0"/>
                <w:sz w:val="24"/>
                <w:szCs w:val="24"/>
              </w:rPr>
            </w:pPr>
            <w:r>
              <w:rPr>
                <w:rFonts w:hint="eastAsia" w:ascii="宋体" w:hAnsi="宋体" w:eastAsia="宋体" w:cs="宋体"/>
                <w:color w:val="000000"/>
                <w:kern w:val="0"/>
                <w:sz w:val="24"/>
                <w:szCs w:val="24"/>
              </w:rPr>
              <w:t>企业联系人：</w:t>
            </w:r>
          </w:p>
          <w:p>
            <w:pPr>
              <w:adjustRightInd w:val="0"/>
              <w:spacing w:line="480" w:lineRule="exact"/>
              <w:rPr>
                <w:rFonts w:ascii="宋体" w:hAnsi="宋体" w:eastAsia="宋体"/>
                <w:color w:val="000000"/>
                <w:kern w:val="0"/>
                <w:sz w:val="24"/>
                <w:szCs w:val="24"/>
              </w:rPr>
            </w:pPr>
          </w:p>
          <w:p>
            <w:pPr>
              <w:adjustRightInd w:val="0"/>
              <w:spacing w:line="480" w:lineRule="exact"/>
              <w:rPr>
                <w:rFonts w:ascii="宋体" w:hAnsi="宋体" w:eastAsia="宋体"/>
                <w:color w:val="000000"/>
                <w:kern w:val="0"/>
                <w:sz w:val="24"/>
                <w:szCs w:val="24"/>
              </w:rPr>
            </w:pPr>
            <w:r>
              <w:rPr>
                <w:rFonts w:hint="eastAsia" w:ascii="宋体" w:hAnsi="宋体" w:eastAsia="宋体" w:cs="宋体"/>
                <w:color w:val="000000"/>
                <w:kern w:val="0"/>
                <w:sz w:val="24"/>
                <w:szCs w:val="24"/>
              </w:rPr>
              <w:t>联系电话：</w:t>
            </w:r>
          </w:p>
        </w:tc>
        <w:tc>
          <w:tcPr>
            <w:tcW w:w="4710" w:type="dxa"/>
            <w:gridSpan w:val="4"/>
            <w:tcBorders>
              <w:top w:val="single" w:color="auto" w:sz="4" w:space="0"/>
              <w:left w:val="nil"/>
              <w:bottom w:val="single" w:color="auto" w:sz="4" w:space="0"/>
              <w:right w:val="single" w:color="auto" w:sz="4" w:space="0"/>
            </w:tcBorders>
          </w:tcPr>
          <w:p>
            <w:pPr>
              <w:widowControl/>
              <w:adjustRightInd w:val="0"/>
              <w:spacing w:line="480" w:lineRule="exact"/>
              <w:rPr>
                <w:rFonts w:ascii="宋体" w:hAnsi="宋体" w:eastAsia="宋体"/>
                <w:color w:val="000000"/>
                <w:kern w:val="0"/>
                <w:sz w:val="24"/>
                <w:szCs w:val="24"/>
              </w:rPr>
            </w:pPr>
            <w:r>
              <w:rPr>
                <w:rFonts w:hint="eastAsia" w:ascii="宋体" w:hAnsi="宋体" w:eastAsia="宋体" w:cs="宋体"/>
                <w:color w:val="000000"/>
                <w:kern w:val="0"/>
                <w:sz w:val="24"/>
                <w:szCs w:val="24"/>
              </w:rPr>
              <w:t>区县（市）商务主管部门盖章：</w:t>
            </w:r>
          </w:p>
          <w:p>
            <w:pPr>
              <w:widowControl/>
              <w:adjustRightInd w:val="0"/>
              <w:spacing w:line="480" w:lineRule="exact"/>
              <w:rPr>
                <w:rFonts w:ascii="宋体" w:hAnsi="宋体" w:eastAsia="宋体"/>
                <w:color w:val="000000"/>
                <w:kern w:val="0"/>
                <w:sz w:val="24"/>
                <w:szCs w:val="24"/>
              </w:rPr>
            </w:pPr>
          </w:p>
        </w:tc>
      </w:tr>
    </w:tbl>
    <w:p>
      <w:pPr>
        <w:widowControl/>
        <w:jc w:val="left"/>
        <w:rPr>
          <w:rFonts w:ascii="宋体" w:hAnsi="宋体" w:eastAsia="宋体"/>
          <w:color w:val="000000"/>
          <w:kern w:val="0"/>
        </w:rPr>
        <w:sectPr>
          <w:pgSz w:w="11906" w:h="16838"/>
          <w:pgMar w:top="2098" w:right="1474" w:bottom="1985" w:left="1588" w:header="851" w:footer="1304" w:gutter="0"/>
          <w:pgNumType w:fmt="numberInDash"/>
          <w:cols w:space="720" w:num="1"/>
          <w:docGrid w:type="linesAndChars" w:linePitch="579" w:charSpace="-849"/>
        </w:sectPr>
      </w:pPr>
    </w:p>
    <w:p>
      <w:pPr>
        <w:rPr>
          <w:rFonts w:eastAsia="黑体"/>
          <w:color w:val="000000"/>
        </w:rPr>
      </w:pPr>
      <w:r>
        <w:rPr>
          <w:rFonts w:hint="eastAsia" w:eastAsia="黑体" w:cs="黑体"/>
          <w:color w:val="000000"/>
        </w:rPr>
        <w:t>附件</w:t>
      </w:r>
      <w:r>
        <w:rPr>
          <w:rFonts w:eastAsia="黑体"/>
          <w:color w:val="000000"/>
        </w:rPr>
        <w:t>7</w:t>
      </w:r>
    </w:p>
    <w:p>
      <w:pPr>
        <w:jc w:val="center"/>
        <w:rPr>
          <w:rFonts w:ascii="宋体" w:hAnsi="宋体" w:eastAsia="宋体"/>
          <w:b/>
          <w:color w:val="000000"/>
          <w:kern w:val="0"/>
          <w:sz w:val="36"/>
          <w:szCs w:val="36"/>
        </w:rPr>
      </w:pPr>
      <w:r>
        <w:rPr>
          <w:rFonts w:ascii="宋体" w:hAnsi="宋体" w:eastAsia="宋体" w:cs="创艺简标宋"/>
          <w:b/>
          <w:color w:val="000000"/>
          <w:kern w:val="0"/>
          <w:sz w:val="36"/>
          <w:szCs w:val="36"/>
        </w:rPr>
        <w:t>2014</w:t>
      </w:r>
      <w:r>
        <w:rPr>
          <w:rFonts w:hint="eastAsia" w:ascii="宋体" w:hAnsi="宋体" w:eastAsia="宋体" w:cs="创艺简标宋"/>
          <w:b/>
          <w:color w:val="000000"/>
          <w:kern w:val="0"/>
          <w:sz w:val="36"/>
          <w:szCs w:val="36"/>
        </w:rPr>
        <w:t>年度宁海县获批“浙江出口名牌”企业名单</w:t>
      </w:r>
    </w:p>
    <w:p>
      <w:pPr>
        <w:spacing w:line="360" w:lineRule="exact"/>
        <w:ind w:right="-57"/>
        <w:jc w:val="center"/>
        <w:rPr>
          <w:rFonts w:ascii="创艺简标宋" w:eastAsia="创艺简标宋"/>
          <w:color w:val="000000"/>
          <w:kern w:val="0"/>
          <w:sz w:val="44"/>
          <w:szCs w:val="44"/>
        </w:rPr>
      </w:pPr>
    </w:p>
    <w:tbl>
      <w:tblPr>
        <w:tblStyle w:val="11"/>
        <w:tblW w:w="8560" w:type="dxa"/>
        <w:tblInd w:w="-106" w:type="dxa"/>
        <w:tblLayout w:type="fixed"/>
        <w:tblCellMar>
          <w:top w:w="0" w:type="dxa"/>
          <w:left w:w="108" w:type="dxa"/>
          <w:bottom w:w="0" w:type="dxa"/>
          <w:right w:w="108" w:type="dxa"/>
        </w:tblCellMar>
      </w:tblPr>
      <w:tblGrid>
        <w:gridCol w:w="1780"/>
        <w:gridCol w:w="6780"/>
      </w:tblGrid>
      <w:tr>
        <w:tblPrEx>
          <w:tblLayout w:type="fixed"/>
          <w:tblCellMar>
            <w:top w:w="0" w:type="dxa"/>
            <w:left w:w="108" w:type="dxa"/>
            <w:bottom w:w="0" w:type="dxa"/>
            <w:right w:w="108" w:type="dxa"/>
          </w:tblCellMar>
        </w:tblPrEx>
        <w:trPr>
          <w:trHeight w:val="885" w:hRule="atLeast"/>
          <w:tblHeader/>
        </w:trPr>
        <w:tc>
          <w:tcPr>
            <w:tcW w:w="1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b/>
                <w:bCs/>
                <w:kern w:val="0"/>
                <w:sz w:val="24"/>
                <w:szCs w:val="24"/>
              </w:rPr>
            </w:pPr>
            <w:r>
              <w:rPr>
                <w:rFonts w:hint="eastAsia" w:ascii="宋体" w:hAnsi="宋体" w:eastAsia="宋体" w:cs="宋体"/>
                <w:b/>
                <w:bCs/>
                <w:kern w:val="0"/>
                <w:sz w:val="24"/>
                <w:szCs w:val="24"/>
              </w:rPr>
              <w:t>序号</w:t>
            </w:r>
          </w:p>
        </w:tc>
        <w:tc>
          <w:tcPr>
            <w:tcW w:w="6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b/>
                <w:bCs/>
                <w:kern w:val="0"/>
                <w:sz w:val="24"/>
                <w:szCs w:val="24"/>
              </w:rPr>
            </w:pPr>
            <w:r>
              <w:rPr>
                <w:rFonts w:hint="eastAsia" w:ascii="宋体" w:hAnsi="宋体" w:eastAsia="宋体" w:cs="宋体"/>
                <w:b/>
                <w:bCs/>
                <w:kern w:val="0"/>
                <w:sz w:val="24"/>
                <w:szCs w:val="24"/>
              </w:rPr>
              <w:t>企业名称</w:t>
            </w:r>
            <w:r>
              <w:rPr>
                <w:rFonts w:ascii="宋体" w:hAnsi="宋体" w:eastAsia="宋体"/>
                <w:b/>
                <w:bCs/>
                <w:kern w:val="0"/>
                <w:sz w:val="24"/>
                <w:szCs w:val="24"/>
              </w:rPr>
              <w:t xml:space="preserve">   </w:t>
            </w:r>
            <w:r>
              <w:rPr>
                <w:rFonts w:hint="eastAsia" w:ascii="宋体" w:hAnsi="宋体" w:eastAsia="宋体" w:cs="宋体"/>
                <w:b/>
                <w:bCs/>
                <w:kern w:val="0"/>
                <w:sz w:val="24"/>
                <w:szCs w:val="24"/>
              </w:rPr>
              <w:t>（中文）</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1</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宁波长荣光电科技有限公司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2</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宁波市乐星感应电器有限公司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3</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宁波协生照明工业有限公司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4</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宁波中天家居用品有限公司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5</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得力集团有限公司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6</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宁波彬彬文具有限公司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7</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宁波如意股份有限公司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8</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宁波杰友升电气有限公司</w:t>
            </w:r>
          </w:p>
        </w:tc>
      </w:tr>
      <w:tr>
        <w:tblPrEx>
          <w:tblLayout w:type="fixed"/>
          <w:tblCellMar>
            <w:top w:w="0" w:type="dxa"/>
            <w:left w:w="108" w:type="dxa"/>
            <w:bottom w:w="0" w:type="dxa"/>
            <w:right w:w="108" w:type="dxa"/>
          </w:tblCellMar>
        </w:tblPrEx>
        <w:trPr>
          <w:trHeight w:val="885"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9</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宁波华成阀门有限公司</w:t>
            </w:r>
          </w:p>
        </w:tc>
      </w:tr>
      <w:tr>
        <w:tblPrEx>
          <w:tblLayout w:type="fixed"/>
          <w:tblCellMar>
            <w:top w:w="0" w:type="dxa"/>
            <w:left w:w="108" w:type="dxa"/>
            <w:bottom w:w="0" w:type="dxa"/>
            <w:right w:w="108" w:type="dxa"/>
          </w:tblCellMar>
        </w:tblPrEx>
        <w:trPr>
          <w:trHeight w:val="896" w:hRule="atLeast"/>
        </w:trPr>
        <w:tc>
          <w:tcPr>
            <w:tcW w:w="17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24"/>
                <w:szCs w:val="24"/>
              </w:rPr>
            </w:pPr>
            <w:r>
              <w:rPr>
                <w:rFonts w:ascii="宋体" w:hAnsi="宋体" w:eastAsia="宋体" w:cs="宋体"/>
                <w:kern w:val="0"/>
                <w:sz w:val="24"/>
                <w:szCs w:val="24"/>
              </w:rPr>
              <w:t>10</w:t>
            </w:r>
          </w:p>
        </w:tc>
        <w:tc>
          <w:tcPr>
            <w:tcW w:w="6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kern w:val="0"/>
                <w:sz w:val="24"/>
                <w:szCs w:val="24"/>
              </w:rPr>
            </w:pPr>
            <w:r>
              <w:rPr>
                <w:rFonts w:hint="eastAsia" w:ascii="宋体" w:hAnsi="宋体" w:eastAsia="宋体" w:cs="宋体"/>
                <w:kern w:val="0"/>
                <w:sz w:val="24"/>
                <w:szCs w:val="24"/>
              </w:rPr>
              <w:t>宁波兴伟塑料制品有限公司</w:t>
            </w:r>
          </w:p>
        </w:tc>
      </w:tr>
    </w:tbl>
    <w:p>
      <w:pPr>
        <w:ind w:left="320" w:leftChars="100" w:right="320" w:rightChars="100"/>
        <w:jc w:val="left"/>
        <w:rPr>
          <w:rFonts w:ascii="宋体" w:hAnsi="宋体" w:eastAsia="宋体"/>
          <w:kern w:val="0"/>
          <w:sz w:val="21"/>
          <w:szCs w:val="21"/>
        </w:rPr>
      </w:pPr>
    </w:p>
    <w:p>
      <w:pPr>
        <w:ind w:firstLine="640"/>
        <w:rPr>
          <w:rFonts w:ascii="宋体" w:hAnsi="宋体" w:eastAsia="宋体" w:cs="宋体"/>
          <w:kern w:val="0"/>
          <w:sz w:val="21"/>
          <w:szCs w:val="21"/>
        </w:rPr>
      </w:pPr>
    </w:p>
    <w:p>
      <w:pPr>
        <w:ind w:firstLine="640"/>
      </w:pPr>
    </w:p>
    <w:p/>
    <w:p>
      <w:pPr>
        <w:spacing w:line="600" w:lineRule="exact"/>
        <w:ind w:right="-57"/>
      </w:pPr>
    </w:p>
    <w:p>
      <w:pPr>
        <w:rPr>
          <w:rFonts w:eastAsia="黑体"/>
          <w:color w:val="000000"/>
        </w:rPr>
      </w:pPr>
      <w:r>
        <w:rPr>
          <w:rFonts w:hint="eastAsia" w:eastAsia="黑体" w:cs="黑体"/>
          <w:color w:val="000000"/>
        </w:rPr>
        <w:t>附件</w:t>
      </w:r>
      <w:r>
        <w:rPr>
          <w:rFonts w:eastAsia="黑体"/>
          <w:color w:val="000000"/>
        </w:rPr>
        <w:t>8</w:t>
      </w:r>
    </w:p>
    <w:p>
      <w:pPr>
        <w:jc w:val="center"/>
        <w:rPr>
          <w:rFonts w:ascii="宋体" w:hAnsi="宋体" w:eastAsia="宋体" w:cs="创艺简标宋"/>
          <w:b/>
          <w:color w:val="000000"/>
          <w:kern w:val="0"/>
          <w:sz w:val="36"/>
          <w:szCs w:val="36"/>
        </w:rPr>
      </w:pPr>
      <w:r>
        <w:rPr>
          <w:rFonts w:ascii="宋体" w:hAnsi="宋体" w:eastAsia="宋体" w:cs="创艺简标宋"/>
          <w:b/>
          <w:color w:val="000000"/>
          <w:kern w:val="0"/>
          <w:sz w:val="36"/>
          <w:szCs w:val="36"/>
        </w:rPr>
        <w:t>2014</w:t>
      </w:r>
      <w:r>
        <w:rPr>
          <w:rFonts w:hint="eastAsia" w:ascii="宋体" w:hAnsi="宋体" w:eastAsia="宋体" w:cs="创艺简标宋"/>
          <w:b/>
          <w:color w:val="000000"/>
          <w:kern w:val="0"/>
          <w:sz w:val="36"/>
          <w:szCs w:val="36"/>
        </w:rPr>
        <w:t>年度宁海县获批“宁波出口名牌”企业名单</w:t>
      </w:r>
    </w:p>
    <w:p>
      <w:pPr>
        <w:jc w:val="center"/>
        <w:rPr>
          <w:rFonts w:ascii="宋体" w:hAnsi="宋体" w:eastAsia="宋体"/>
          <w:b/>
          <w:color w:val="000000"/>
          <w:kern w:val="0"/>
          <w:sz w:val="36"/>
          <w:szCs w:val="36"/>
        </w:rPr>
      </w:pPr>
    </w:p>
    <w:p>
      <w:pPr>
        <w:ind w:firstLine="1269" w:firstLineChars="395"/>
        <w:rPr>
          <w:rFonts w:ascii="仿宋" w:hAnsi="仿宋" w:eastAsia="仿宋"/>
          <w:b/>
          <w:bCs/>
        </w:rPr>
      </w:pPr>
      <w:r>
        <w:rPr>
          <w:rFonts w:hint="eastAsia" w:ascii="仿宋" w:hAnsi="仿宋" w:eastAsia="仿宋" w:cs="仿宋_GB2312"/>
          <w:b/>
          <w:bCs/>
        </w:rPr>
        <w:t>企业名称</w:t>
      </w:r>
      <w:r>
        <w:rPr>
          <w:rFonts w:ascii="仿宋" w:hAnsi="仿宋" w:eastAsia="仿宋" w:cs="仿宋_GB2312"/>
          <w:b/>
          <w:bCs/>
        </w:rPr>
        <w:t xml:space="preserve">            </w:t>
      </w:r>
    </w:p>
    <w:p>
      <w:pPr>
        <w:ind w:firstLine="320" w:firstLineChars="100"/>
        <w:rPr>
          <w:rFonts w:ascii="仿宋" w:hAnsi="仿宋" w:eastAsia="仿宋" w:cs="仿宋_GB2312"/>
        </w:rPr>
      </w:pPr>
      <w:r>
        <w:rPr>
          <w:rFonts w:ascii="仿宋" w:hAnsi="仿宋" w:eastAsia="仿宋" w:cs="仿宋_GB2312"/>
        </w:rPr>
        <w:t>1.</w:t>
      </w:r>
      <w:r>
        <w:rPr>
          <w:rFonts w:hint="eastAsia" w:ascii="仿宋" w:hAnsi="仿宋" w:eastAsia="仿宋" w:cs="仿宋_GB2312"/>
        </w:rPr>
        <w:t>宁波翰文电器有限公司</w:t>
      </w:r>
      <w:r>
        <w:rPr>
          <w:rFonts w:ascii="仿宋" w:hAnsi="仿宋" w:eastAsia="仿宋" w:cs="仿宋_GB2312"/>
        </w:rPr>
        <w:t xml:space="preserve"> </w:t>
      </w:r>
    </w:p>
    <w:p>
      <w:pPr>
        <w:ind w:firstLine="320" w:firstLineChars="100"/>
        <w:rPr>
          <w:rFonts w:ascii="仿宋" w:hAnsi="仿宋" w:eastAsia="仿宋" w:cs="仿宋_GB2312"/>
        </w:rPr>
      </w:pPr>
      <w:r>
        <w:rPr>
          <w:rFonts w:ascii="仿宋" w:hAnsi="仿宋" w:eastAsia="仿宋" w:cs="仿宋_GB2312"/>
        </w:rPr>
        <w:t>2.</w:t>
      </w:r>
      <w:r>
        <w:rPr>
          <w:rFonts w:hint="eastAsia" w:ascii="仿宋" w:hAnsi="仿宋" w:eastAsia="仿宋" w:cs="仿宋_GB2312"/>
        </w:rPr>
        <w:t>宁波兴宝华刷业有限公司</w:t>
      </w:r>
      <w:r>
        <w:rPr>
          <w:rFonts w:ascii="仿宋" w:hAnsi="仿宋" w:eastAsia="仿宋" w:cs="仿宋_GB2312"/>
        </w:rPr>
        <w:t xml:space="preserve">   </w:t>
      </w:r>
    </w:p>
    <w:p>
      <w:pPr>
        <w:ind w:firstLine="320" w:firstLineChars="100"/>
        <w:rPr>
          <w:rFonts w:ascii="仿宋" w:hAnsi="仿宋" w:eastAsia="仿宋"/>
        </w:rPr>
      </w:pPr>
      <w:r>
        <w:rPr>
          <w:rFonts w:ascii="仿宋" w:hAnsi="仿宋" w:eastAsia="仿宋" w:cs="仿宋_GB2312"/>
        </w:rPr>
        <w:t>3.</w:t>
      </w:r>
      <w:r>
        <w:rPr>
          <w:rFonts w:hint="eastAsia" w:ascii="仿宋" w:hAnsi="仿宋" w:eastAsia="仿宋" w:cs="仿宋_GB2312"/>
        </w:rPr>
        <w:t>宁波华平金属制品有限公司</w:t>
      </w:r>
      <w:r>
        <w:rPr>
          <w:rFonts w:ascii="仿宋" w:hAnsi="仿宋" w:eastAsia="仿宋" w:cs="仿宋_GB2312"/>
        </w:rPr>
        <w:t xml:space="preserve">  </w:t>
      </w:r>
    </w:p>
    <w:p>
      <w:pPr>
        <w:ind w:firstLine="320" w:firstLineChars="100"/>
        <w:rPr>
          <w:rFonts w:ascii="仿宋" w:hAnsi="仿宋" w:eastAsia="仿宋" w:cs="仿宋_GB2312"/>
        </w:rPr>
      </w:pPr>
      <w:r>
        <w:rPr>
          <w:rFonts w:ascii="仿宋" w:hAnsi="仿宋" w:eastAsia="仿宋" w:cs="仿宋_GB2312"/>
        </w:rPr>
        <w:t>4.</w:t>
      </w:r>
      <w:r>
        <w:rPr>
          <w:rFonts w:hint="eastAsia" w:ascii="仿宋" w:hAnsi="仿宋" w:eastAsia="仿宋" w:cs="仿宋_GB2312"/>
        </w:rPr>
        <w:t>宁波日安阀门有限公司</w:t>
      </w:r>
      <w:r>
        <w:rPr>
          <w:rFonts w:ascii="仿宋" w:hAnsi="仿宋" w:eastAsia="仿宋" w:cs="仿宋_GB2312"/>
        </w:rPr>
        <w:t xml:space="preserve">    </w:t>
      </w:r>
    </w:p>
    <w:p>
      <w:pPr>
        <w:rPr>
          <w:rFonts w:ascii="宋体" w:eastAsia="宋体"/>
          <w:kern w:val="0"/>
        </w:rPr>
      </w:pPr>
      <w: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302260</wp:posOffset>
                </wp:positionV>
                <wp:extent cx="1404620" cy="1131570"/>
                <wp:effectExtent l="4445" t="4445" r="19685" b="6985"/>
                <wp:wrapNone/>
                <wp:docPr id="1" name="矩形 2"/>
                <wp:cNvGraphicFramePr/>
                <a:graphic xmlns:a="http://schemas.openxmlformats.org/drawingml/2006/main">
                  <a:graphicData uri="http://schemas.microsoft.com/office/word/2010/wordprocessingShape">
                    <wps:wsp>
                      <wps:cNvSpPr/>
                      <wps:spPr>
                        <a:xfrm>
                          <a:off x="0" y="0"/>
                          <a:ext cx="1404620" cy="113157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15.8pt;margin-top:23.8pt;height:89.1pt;width:110.6pt;z-index:251658240;mso-width-relative:page;mso-height-relative:page;" fillcolor="#FFFFFF" filled="t" stroked="t" coordsize="21600,21600" o:gfxdata="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Px422AAAAAoBAAAP&#10;AAAAAAAAAAEAIAAAACIAAABkcnMvZG93bnJldi54bWxQSwECFAAUAAAACACHTuJAv2lMfN8BAADR&#10;AwAADgAAAAAAAAABACAAAAAnAQAAZHJzL2Uyb0RvYy54bWxQSwUGAAAAAAYABgBZAQAAeAUAAAAA&#10;">
                <v:fill on="t" focussize="0,0"/>
                <v:stroke color="#FFFFFF" joinstyle="miter"/>
                <v:imagedata o:title=""/>
                <o:lock v:ext="edit" aspectratio="f"/>
              </v:rect>
            </w:pict>
          </mc:Fallback>
        </mc:AlternateConten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仿宋_GB2312"/>
        <w:sz w:val="28"/>
        <w:szCs w:val="28"/>
      </w:rPr>
    </w:pPr>
    <w:r>
      <w:rPr>
        <w:rStyle w:val="9"/>
        <w:rFonts w:ascii="仿宋_GB2312" w:cs="仿宋_GB2312"/>
        <w:sz w:val="28"/>
        <w:szCs w:val="28"/>
      </w:rPr>
      <w:fldChar w:fldCharType="begin"/>
    </w:r>
    <w:r>
      <w:rPr>
        <w:rStyle w:val="9"/>
        <w:rFonts w:ascii="仿宋_GB2312" w:cs="仿宋_GB2312"/>
        <w:sz w:val="28"/>
        <w:szCs w:val="28"/>
      </w:rPr>
      <w:instrText xml:space="preserve">PAGE  </w:instrText>
    </w:r>
    <w:r>
      <w:rPr>
        <w:rStyle w:val="9"/>
        <w:rFonts w:ascii="仿宋_GB2312" w:cs="仿宋_GB2312"/>
        <w:sz w:val="28"/>
        <w:szCs w:val="28"/>
      </w:rPr>
      <w:fldChar w:fldCharType="separate"/>
    </w:r>
    <w:r>
      <w:rPr>
        <w:rStyle w:val="9"/>
        <w:rFonts w:ascii="仿宋_GB2312" w:cs="仿宋_GB2312"/>
        <w:sz w:val="28"/>
        <w:szCs w:val="28"/>
      </w:rPr>
      <w:t>- 1 -</w:t>
    </w:r>
    <w:r>
      <w:rPr>
        <w:rStyle w:val="9"/>
        <w:rFonts w:ascii="仿宋_GB2312" w:cs="仿宋_GB2312"/>
        <w:sz w:val="28"/>
        <w:szCs w:val="28"/>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4B"/>
    <w:rsid w:val="0000430A"/>
    <w:rsid w:val="000619D6"/>
    <w:rsid w:val="00086A65"/>
    <w:rsid w:val="0009539C"/>
    <w:rsid w:val="001053A6"/>
    <w:rsid w:val="00123B9B"/>
    <w:rsid w:val="00137EE0"/>
    <w:rsid w:val="00157D0B"/>
    <w:rsid w:val="001719F5"/>
    <w:rsid w:val="0018106F"/>
    <w:rsid w:val="001826D2"/>
    <w:rsid w:val="001B3552"/>
    <w:rsid w:val="00237AB9"/>
    <w:rsid w:val="00240829"/>
    <w:rsid w:val="00252733"/>
    <w:rsid w:val="0026406B"/>
    <w:rsid w:val="00272953"/>
    <w:rsid w:val="002845D3"/>
    <w:rsid w:val="0028694B"/>
    <w:rsid w:val="00295EC0"/>
    <w:rsid w:val="002A7DC3"/>
    <w:rsid w:val="002C20C0"/>
    <w:rsid w:val="00331051"/>
    <w:rsid w:val="003648EA"/>
    <w:rsid w:val="00384153"/>
    <w:rsid w:val="003D2227"/>
    <w:rsid w:val="00483427"/>
    <w:rsid w:val="004951DD"/>
    <w:rsid w:val="004B4E36"/>
    <w:rsid w:val="004C32B8"/>
    <w:rsid w:val="004C3461"/>
    <w:rsid w:val="004C63A6"/>
    <w:rsid w:val="004F6DE5"/>
    <w:rsid w:val="0054436A"/>
    <w:rsid w:val="005454EF"/>
    <w:rsid w:val="0055167D"/>
    <w:rsid w:val="00557D8C"/>
    <w:rsid w:val="005703D0"/>
    <w:rsid w:val="00586D38"/>
    <w:rsid w:val="005C4EAF"/>
    <w:rsid w:val="005C6891"/>
    <w:rsid w:val="005E7BE7"/>
    <w:rsid w:val="00601C36"/>
    <w:rsid w:val="00611ADD"/>
    <w:rsid w:val="0062455D"/>
    <w:rsid w:val="00646032"/>
    <w:rsid w:val="006C6542"/>
    <w:rsid w:val="006F2931"/>
    <w:rsid w:val="00713BA1"/>
    <w:rsid w:val="0071520F"/>
    <w:rsid w:val="00811438"/>
    <w:rsid w:val="008440B1"/>
    <w:rsid w:val="0086582E"/>
    <w:rsid w:val="008B009D"/>
    <w:rsid w:val="008B3511"/>
    <w:rsid w:val="008D6314"/>
    <w:rsid w:val="008D7CAC"/>
    <w:rsid w:val="008E6787"/>
    <w:rsid w:val="008F1B94"/>
    <w:rsid w:val="008F4A2D"/>
    <w:rsid w:val="009B1FA7"/>
    <w:rsid w:val="009B4EE1"/>
    <w:rsid w:val="009C498D"/>
    <w:rsid w:val="009E5D76"/>
    <w:rsid w:val="00A14917"/>
    <w:rsid w:val="00A36573"/>
    <w:rsid w:val="00A50640"/>
    <w:rsid w:val="00A51616"/>
    <w:rsid w:val="00A8038C"/>
    <w:rsid w:val="00A9197D"/>
    <w:rsid w:val="00A920AD"/>
    <w:rsid w:val="00AD4951"/>
    <w:rsid w:val="00AD6A65"/>
    <w:rsid w:val="00B33D4C"/>
    <w:rsid w:val="00B569DE"/>
    <w:rsid w:val="00B73C67"/>
    <w:rsid w:val="00BA7443"/>
    <w:rsid w:val="00BB18AB"/>
    <w:rsid w:val="00BE6BB7"/>
    <w:rsid w:val="00C03D7F"/>
    <w:rsid w:val="00C41AA5"/>
    <w:rsid w:val="00C448E4"/>
    <w:rsid w:val="00C6292E"/>
    <w:rsid w:val="00C64B5D"/>
    <w:rsid w:val="00CA0182"/>
    <w:rsid w:val="00CA4BBF"/>
    <w:rsid w:val="00CB2359"/>
    <w:rsid w:val="00CB7C55"/>
    <w:rsid w:val="00CF607F"/>
    <w:rsid w:val="00D011D7"/>
    <w:rsid w:val="00D360BB"/>
    <w:rsid w:val="00D36614"/>
    <w:rsid w:val="00D406A0"/>
    <w:rsid w:val="00D51844"/>
    <w:rsid w:val="00D5261D"/>
    <w:rsid w:val="00D81234"/>
    <w:rsid w:val="00D81C52"/>
    <w:rsid w:val="00DD052A"/>
    <w:rsid w:val="00DD215E"/>
    <w:rsid w:val="00DD755B"/>
    <w:rsid w:val="00DF3954"/>
    <w:rsid w:val="00E01033"/>
    <w:rsid w:val="00E15ECD"/>
    <w:rsid w:val="00E30677"/>
    <w:rsid w:val="00E53F2B"/>
    <w:rsid w:val="00E670F2"/>
    <w:rsid w:val="00EA3484"/>
    <w:rsid w:val="00EF3A5D"/>
    <w:rsid w:val="00F2516F"/>
    <w:rsid w:val="00F30096"/>
    <w:rsid w:val="00F5705C"/>
    <w:rsid w:val="00F651A9"/>
    <w:rsid w:val="00F6778A"/>
    <w:rsid w:val="00F86ECF"/>
    <w:rsid w:val="00FA22CA"/>
    <w:rsid w:val="00FD44B7"/>
    <w:rsid w:val="00FF2C7E"/>
    <w:rsid w:val="136C3253"/>
    <w:rsid w:val="33E51A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uiPriority w:val="99"/>
    <w:rPr>
      <w:sz w:val="18"/>
      <w:szCs w:val="18"/>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21"/>
    <w:semiHidden/>
    <w:qFormat/>
    <w:uiPriority w:val="99"/>
    <w:pPr>
      <w:snapToGrid w:val="0"/>
      <w:jc w:val="left"/>
    </w:pPr>
    <w:rPr>
      <w:rFonts w:eastAsia="宋体"/>
      <w:sz w:val="18"/>
      <w:szCs w:val="18"/>
    </w:rPr>
  </w:style>
  <w:style w:type="paragraph" w:styleId="6">
    <w:name w:val="Body Text Indent 3"/>
    <w:basedOn w:val="1"/>
    <w:link w:val="19"/>
    <w:qFormat/>
    <w:uiPriority w:val="99"/>
    <w:pPr>
      <w:ind w:firstLine="640" w:firstLineChars="200"/>
    </w:pPr>
    <w:rPr>
      <w:rFonts w:ascii="黑体" w:hAnsi="宋体" w:eastAsia="黑体" w:cs="黑体"/>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iPriority w:val="99"/>
    <w:rPr>
      <w:rFonts w:cs="Times New Roman"/>
    </w:rPr>
  </w:style>
  <w:style w:type="character" w:styleId="10">
    <w:name w:val="Hyperlink"/>
    <w:basedOn w:val="8"/>
    <w:qFormat/>
    <w:uiPriority w:val="99"/>
    <w:rPr>
      <w:rFonts w:cs="Times New Roman"/>
      <w:color w:val="0000FF"/>
      <w:u w:val="single"/>
    </w:rPr>
  </w:style>
  <w:style w:type="table" w:styleId="12">
    <w:name w:val="Table Grid"/>
    <w:basedOn w:val="11"/>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Header Char"/>
    <w:basedOn w:val="8"/>
    <w:link w:val="4"/>
    <w:qFormat/>
    <w:locked/>
    <w:uiPriority w:val="99"/>
    <w:rPr>
      <w:rFonts w:cs="Times New Roman"/>
      <w:sz w:val="18"/>
      <w:szCs w:val="18"/>
    </w:rPr>
  </w:style>
  <w:style w:type="character" w:customStyle="1" w:styleId="14">
    <w:name w:val="Footer Char"/>
    <w:basedOn w:val="8"/>
    <w:link w:val="3"/>
    <w:qFormat/>
    <w:locked/>
    <w:uiPriority w:val="99"/>
    <w:rPr>
      <w:rFonts w:cs="Times New Roman"/>
      <w:sz w:val="18"/>
      <w:szCs w:val="18"/>
    </w:rPr>
  </w:style>
  <w:style w:type="paragraph" w:customStyle="1" w:styleId="15">
    <w:name w:val="Char"/>
    <w:basedOn w:val="1"/>
    <w:qFormat/>
    <w:uiPriority w:val="99"/>
    <w:rPr>
      <w:rFonts w:ascii="仿宋_GB2312" w:cs="仿宋_GB2312"/>
      <w:b/>
      <w:bCs/>
    </w:rPr>
  </w:style>
  <w:style w:type="paragraph" w:customStyle="1" w:styleId="16">
    <w:name w:val="默认段落字体 Para Char Char Char Char Char Char Char"/>
    <w:basedOn w:val="1"/>
    <w:qFormat/>
    <w:uiPriority w:val="99"/>
  </w:style>
  <w:style w:type="paragraph" w:customStyle="1" w:styleId="17">
    <w:name w:val="Char Char Char Char Char Char Char Char Char"/>
    <w:basedOn w:val="1"/>
    <w:qFormat/>
    <w:uiPriority w:val="99"/>
    <w:pPr>
      <w:widowControl/>
      <w:spacing w:after="160" w:line="240" w:lineRule="exact"/>
      <w:jc w:val="left"/>
    </w:pPr>
    <w:rPr>
      <w:rFonts w:ascii="Verdana" w:hAnsi="Verdana" w:cs="Verdana"/>
      <w:kern w:val="0"/>
      <w:sz w:val="24"/>
      <w:szCs w:val="24"/>
      <w:lang w:eastAsia="en-US"/>
    </w:rPr>
  </w:style>
  <w:style w:type="character" w:customStyle="1" w:styleId="18">
    <w:name w:val="Balloon Text Char"/>
    <w:basedOn w:val="8"/>
    <w:link w:val="2"/>
    <w:semiHidden/>
    <w:qFormat/>
    <w:locked/>
    <w:uiPriority w:val="99"/>
    <w:rPr>
      <w:rFonts w:ascii="Times New Roman" w:hAnsi="Times New Roman" w:eastAsia="仿宋_GB2312" w:cs="Times New Roman"/>
      <w:sz w:val="18"/>
      <w:szCs w:val="18"/>
    </w:rPr>
  </w:style>
  <w:style w:type="character" w:customStyle="1" w:styleId="19">
    <w:name w:val="Body Text Indent 3 Char"/>
    <w:basedOn w:val="8"/>
    <w:link w:val="6"/>
    <w:qFormat/>
    <w:locked/>
    <w:uiPriority w:val="99"/>
    <w:rPr>
      <w:rFonts w:ascii="黑体" w:hAnsi="宋体" w:eastAsia="黑体" w:cs="黑体"/>
      <w:sz w:val="32"/>
      <w:szCs w:val="32"/>
    </w:rPr>
  </w:style>
  <w:style w:type="paragraph" w:customStyle="1" w:styleId="20">
    <w:name w:val="列出段落1"/>
    <w:basedOn w:val="1"/>
    <w:uiPriority w:val="99"/>
    <w:pPr>
      <w:ind w:firstLine="420" w:firstLineChars="200"/>
    </w:pPr>
    <w:rPr>
      <w:rFonts w:ascii="Calibri" w:hAnsi="Calibri" w:eastAsia="宋体" w:cs="Calibri"/>
      <w:sz w:val="21"/>
      <w:szCs w:val="21"/>
    </w:rPr>
  </w:style>
  <w:style w:type="character" w:customStyle="1" w:styleId="21">
    <w:name w:val="Footnote Text Char"/>
    <w:basedOn w:val="8"/>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20</Pages>
  <Words>1149</Words>
  <Characters>6553</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2017-08-16T06:16:00Z</dcterms:created>
  <dc:creator>wsy</dc:creator>
  <cp:lastModifiedBy>Administrator</cp:lastModifiedBy>
  <cp:lastPrinted>2017-08-23T09:35:00Z</cp:lastPrinted>
  <dcterms:modified xsi:type="dcterms:W3CDTF">2017-09-05T03:01:34Z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